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监督索引号53312300421300000</w:t>
      </w:r>
    </w:p>
    <w:p>
      <w:pPr>
        <w:jc w:val="center"/>
        <w:rPr>
          <w:rFonts w:ascii="黑体" w:hAnsi="黑体" w:eastAsia="黑体" w:cs="方正小标宋简体"/>
          <w:sz w:val="36"/>
          <w:szCs w:val="36"/>
        </w:rPr>
      </w:pPr>
      <w:r>
        <w:rPr>
          <w:rFonts w:hint="eastAsia" w:ascii="黑体" w:hAnsi="黑体" w:eastAsia="黑体" w:cs="方正小标宋简体"/>
          <w:sz w:val="36"/>
          <w:szCs w:val="36"/>
        </w:rPr>
        <w:t>中国共产党盈江县委员会统一战线工作部</w:t>
      </w:r>
    </w:p>
    <w:p>
      <w:pPr>
        <w:jc w:val="center"/>
        <w:rPr>
          <w:rFonts w:ascii="黑体" w:hAnsi="黑体" w:eastAsia="黑体" w:cs="方正小标宋简体"/>
          <w:sz w:val="36"/>
          <w:szCs w:val="36"/>
        </w:rPr>
      </w:pPr>
      <w:r>
        <w:rPr>
          <w:rFonts w:hint="eastAsia" w:ascii="黑体" w:hAnsi="黑体" w:eastAsia="黑体" w:cs="方正小标宋简体"/>
          <w:sz w:val="36"/>
          <w:szCs w:val="36"/>
        </w:rPr>
        <w:t>2019年部门预算公开</w:t>
      </w:r>
    </w:p>
    <w:p>
      <w:pPr>
        <w:jc w:val="center"/>
        <w:rPr>
          <w:rFonts w:ascii="黑体" w:hAnsi="黑体" w:eastAsia="黑体" w:cs="方正小标宋简体"/>
          <w:sz w:val="36"/>
          <w:szCs w:val="36"/>
        </w:rPr>
      </w:pPr>
      <w:r>
        <w:rPr>
          <w:rFonts w:hint="eastAsia" w:ascii="黑体" w:hAnsi="黑体" w:eastAsia="黑体"/>
          <w:sz w:val="36"/>
          <w:szCs w:val="36"/>
        </w:rPr>
        <w:t>目录</w:t>
      </w:r>
    </w:p>
    <w:p>
      <w:pPr>
        <w:jc w:val="left"/>
        <w:rPr>
          <w:rFonts w:ascii="黑体" w:hAnsi="黑体" w:eastAsia="黑体"/>
          <w:sz w:val="30"/>
          <w:szCs w:val="30"/>
        </w:rPr>
      </w:pP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ascii="黑体" w:hAnsi="宋体" w:eastAsia="黑体" w:cs="黑体"/>
          <w:b w:val="0"/>
          <w:i w:val="0"/>
          <w:caps w:val="0"/>
          <w:color w:val="333333"/>
          <w:spacing w:val="0"/>
          <w:kern w:val="0"/>
          <w:sz w:val="24"/>
          <w:szCs w:val="24"/>
          <w:lang w:val="en-US" w:eastAsia="zh-CN" w:bidi="ar"/>
        </w:rPr>
        <w:t>第一部分</w:t>
      </w:r>
      <w:r>
        <w:rPr>
          <w:rFonts w:hint="eastAsia" w:ascii="黑体" w:hAnsi="宋体" w:eastAsia="黑体" w:cs="黑体"/>
          <w:b w:val="0"/>
          <w:i w:val="0"/>
          <w:caps w:val="0"/>
          <w:color w:val="333333"/>
          <w:spacing w:val="0"/>
          <w:kern w:val="0"/>
          <w:sz w:val="30"/>
          <w:szCs w:val="30"/>
          <w:lang w:val="en-US" w:eastAsia="zh-CN" w:bidi="ar"/>
        </w:rPr>
        <w:t>  </w:t>
      </w:r>
      <w:r>
        <w:rPr>
          <w:rFonts w:hint="eastAsia" w:ascii="黑体" w:hAnsi="宋体" w:eastAsia="黑体" w:cs="黑体"/>
          <w:b w:val="0"/>
          <w:i w:val="0"/>
          <w:caps w:val="0"/>
          <w:color w:val="333333"/>
          <w:spacing w:val="0"/>
          <w:kern w:val="0"/>
          <w:sz w:val="24"/>
          <w:szCs w:val="24"/>
          <w:lang w:val="en-US" w:eastAsia="zh-CN" w:bidi="ar"/>
        </w:rPr>
        <w:t>中国共产党盈江县委员会统一战线工作部概况</w:t>
      </w:r>
    </w:p>
    <w:p>
      <w:pPr>
        <w:keepNext w:val="0"/>
        <w:keepLines w:val="0"/>
        <w:widowControl/>
        <w:suppressLineNumbers w:val="0"/>
        <w:spacing w:before="0" w:beforeAutospacing="0" w:after="0" w:afterAutospacing="0" w:line="240" w:lineRule="atLeast"/>
        <w:ind w:left="0" w:right="0" w:firstLine="420"/>
        <w:jc w:val="left"/>
        <w:rPr>
          <w:rFonts w:hint="eastAsia" w:ascii="宋体" w:hAnsi="宋体" w:eastAsia="宋体" w:cs="宋体"/>
          <w:b w:val="0"/>
          <w:i w:val="0"/>
          <w:caps w:val="0"/>
          <w:color w:val="333333"/>
          <w:spacing w:val="0"/>
          <w:sz w:val="24"/>
          <w:szCs w:val="24"/>
        </w:rPr>
      </w:pPr>
      <w:r>
        <w:rPr>
          <w:rFonts w:ascii="楷体" w:hAnsi="楷体" w:eastAsia="楷体" w:cs="楷体"/>
          <w:b w:val="0"/>
          <w:i w:val="0"/>
          <w:caps w:val="0"/>
          <w:color w:val="333333"/>
          <w:spacing w:val="0"/>
          <w:kern w:val="0"/>
          <w:sz w:val="24"/>
          <w:szCs w:val="24"/>
          <w:lang w:val="en-US" w:eastAsia="zh-CN" w:bidi="ar"/>
        </w:rPr>
        <w:t>一、主要职能</w:t>
      </w:r>
    </w:p>
    <w:p>
      <w:pPr>
        <w:keepNext w:val="0"/>
        <w:keepLines w:val="0"/>
        <w:widowControl/>
        <w:suppressLineNumbers w:val="0"/>
        <w:spacing w:before="0" w:beforeAutospacing="0" w:after="0" w:afterAutospacing="0" w:line="24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二、部门基本情况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第二部分</w:t>
      </w:r>
      <w:r>
        <w:rPr>
          <w:rFonts w:hint="eastAsia" w:ascii="黑体" w:hAnsi="宋体" w:eastAsia="黑体" w:cs="黑体"/>
          <w:b w:val="0"/>
          <w:i w:val="0"/>
          <w:caps w:val="0"/>
          <w:color w:val="333333"/>
          <w:spacing w:val="0"/>
          <w:kern w:val="0"/>
          <w:sz w:val="30"/>
          <w:szCs w:val="30"/>
          <w:lang w:val="en-US" w:eastAsia="zh-CN" w:bidi="ar"/>
        </w:rPr>
        <w:t>  2018年度部门决算表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一、收入支出决算总表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二、收入决算表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三、支出决算表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四、财政拨款收入支出决算总表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五、一般公共预算财政拨款收入支出决算表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六、一般公共预算财政拨款基本支出决算表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七、政府性基金预算财政拨款收入支出决算表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八、财政专户管理资金收入支出决算表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九、</w:t>
      </w:r>
      <w:r>
        <w:rPr>
          <w:rFonts w:hint="default" w:ascii="楷体" w:hAnsi="楷体" w:eastAsia="楷体" w:cs="楷体"/>
          <w:b w:val="0"/>
          <w:i w:val="0"/>
          <w:caps w:val="0"/>
          <w:color w:val="333333"/>
          <w:spacing w:val="0"/>
          <w:kern w:val="0"/>
          <w:sz w:val="30"/>
          <w:szCs w:val="30"/>
          <w:lang w:val="en-US" w:eastAsia="zh-CN" w:bidi="ar"/>
        </w:rPr>
        <w:t>“三公”经费、行政参公单位机关运行经费情况表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第三部分</w:t>
      </w:r>
      <w:r>
        <w:rPr>
          <w:rFonts w:hint="eastAsia" w:ascii="黑体" w:hAnsi="宋体" w:eastAsia="黑体" w:cs="黑体"/>
          <w:b w:val="0"/>
          <w:i w:val="0"/>
          <w:caps w:val="0"/>
          <w:color w:val="333333"/>
          <w:spacing w:val="0"/>
          <w:kern w:val="0"/>
          <w:sz w:val="30"/>
          <w:szCs w:val="30"/>
          <w:lang w:val="en-US" w:eastAsia="zh-CN" w:bidi="ar"/>
        </w:rPr>
        <w:t>  2018年度部门决算情况说明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一、收入决算情况说明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二、支出决算情况说明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三、一般公共预算财政拨款支出决算情况说明</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四、一般公共预算财政拨款</w:t>
      </w:r>
      <w:r>
        <w:rPr>
          <w:rFonts w:hint="default" w:ascii="楷体" w:hAnsi="楷体" w:eastAsia="楷体" w:cs="楷体"/>
          <w:b w:val="0"/>
          <w:i w:val="0"/>
          <w:caps w:val="0"/>
          <w:color w:val="333333"/>
          <w:spacing w:val="0"/>
          <w:kern w:val="0"/>
          <w:sz w:val="30"/>
          <w:szCs w:val="30"/>
          <w:lang w:val="en-US" w:eastAsia="zh-CN" w:bidi="ar"/>
        </w:rPr>
        <w:t>“三公”经费支出决算情况说明</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第四部分</w:t>
      </w:r>
      <w:r>
        <w:rPr>
          <w:rFonts w:hint="default" w:ascii="楷体" w:hAnsi="楷体" w:eastAsia="楷体" w:cs="楷体"/>
          <w:b w:val="0"/>
          <w:i w:val="0"/>
          <w:caps w:val="0"/>
          <w:color w:val="333333"/>
          <w:spacing w:val="0"/>
          <w:kern w:val="0"/>
          <w:sz w:val="30"/>
          <w:szCs w:val="30"/>
          <w:lang w:val="en-US" w:eastAsia="zh-CN" w:bidi="ar"/>
        </w:rPr>
        <w:t>  </w:t>
      </w:r>
      <w:r>
        <w:rPr>
          <w:rFonts w:hint="eastAsia" w:ascii="黑体" w:hAnsi="宋体" w:eastAsia="黑体" w:cs="黑体"/>
          <w:b w:val="0"/>
          <w:i w:val="0"/>
          <w:caps w:val="0"/>
          <w:color w:val="333333"/>
          <w:spacing w:val="0"/>
          <w:kern w:val="0"/>
          <w:sz w:val="24"/>
          <w:szCs w:val="24"/>
          <w:lang w:val="en-US" w:eastAsia="zh-CN" w:bidi="ar"/>
        </w:rPr>
        <w:t>其他重要事项及相关口径情况说明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一、机关运行经费支出情况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二、国有资产占用情况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三、政府采购支出情况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四、部门绩效自评情况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（一）项目支出概况</w:t>
      </w:r>
      <w:bookmarkStart w:id="0" w:name="_GoBack"/>
      <w:bookmarkEnd w:id="0"/>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（二）项目支出绩效自评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（三）项目绩效目标管理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（四）</w:t>
      </w:r>
      <w:r>
        <w:rPr>
          <w:rFonts w:hint="default" w:ascii="楷体" w:hAnsi="楷体" w:eastAsia="楷体" w:cs="楷体"/>
          <w:b w:val="0"/>
          <w:i w:val="0"/>
          <w:caps w:val="0"/>
          <w:color w:val="333333"/>
          <w:spacing w:val="0"/>
          <w:kern w:val="0"/>
          <w:sz w:val="30"/>
          <w:szCs w:val="30"/>
          <w:lang w:val="en-US" w:eastAsia="zh-CN" w:bidi="ar"/>
        </w:rPr>
        <w:t>2018部门整体支出绩效自评报告</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（五）部门整体支出绩效自评表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五、其他重要事项情况说明</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第五部分</w:t>
      </w:r>
      <w:r>
        <w:rPr>
          <w:rFonts w:hint="eastAsia" w:ascii="黑体" w:hAnsi="宋体" w:eastAsia="黑体" w:cs="黑体"/>
          <w:b w:val="0"/>
          <w:i w:val="0"/>
          <w:caps w:val="0"/>
          <w:color w:val="333333"/>
          <w:spacing w:val="0"/>
          <w:kern w:val="0"/>
          <w:sz w:val="30"/>
          <w:szCs w:val="30"/>
          <w:lang w:val="en-US" w:eastAsia="zh-CN" w:bidi="ar"/>
        </w:rPr>
        <w:t>  </w:t>
      </w:r>
      <w:r>
        <w:rPr>
          <w:rFonts w:hint="eastAsia" w:ascii="黑体" w:hAnsi="宋体" w:eastAsia="黑体" w:cs="黑体"/>
          <w:b w:val="0"/>
          <w:i w:val="0"/>
          <w:caps w:val="0"/>
          <w:color w:val="333333"/>
          <w:spacing w:val="0"/>
          <w:kern w:val="0"/>
          <w:sz w:val="24"/>
          <w:szCs w:val="24"/>
          <w:lang w:val="en-US" w:eastAsia="zh-CN" w:bidi="ar"/>
        </w:rPr>
        <w:t>名词解释</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32"/>
          <w:szCs w:val="32"/>
          <w:lang w:val="en-US" w:eastAsia="zh-CN" w:bidi="ar"/>
        </w:rPr>
        <w:t> </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32"/>
          <w:szCs w:val="32"/>
          <w:lang w:val="en-US" w:eastAsia="zh-CN" w:bidi="ar"/>
        </w:rPr>
        <w:t> </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32"/>
          <w:szCs w:val="32"/>
          <w:lang w:val="en-US" w:eastAsia="zh-CN" w:bidi="ar"/>
        </w:rPr>
        <w:t> </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32"/>
          <w:szCs w:val="32"/>
          <w:lang w:val="en-US" w:eastAsia="zh-CN" w:bidi="ar"/>
        </w:rPr>
        <w:t> </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32"/>
          <w:szCs w:val="32"/>
          <w:lang w:val="en-US" w:eastAsia="zh-CN" w:bidi="ar"/>
        </w:rPr>
        <w:t> </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32"/>
          <w:szCs w:val="32"/>
          <w:lang w:val="en-US" w:eastAsia="zh-CN" w:bidi="ar"/>
        </w:rPr>
        <w:t> </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32"/>
          <w:szCs w:val="32"/>
          <w:lang w:val="en-US" w:eastAsia="zh-CN" w:bidi="ar"/>
        </w:rPr>
        <w:t> </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32"/>
          <w:szCs w:val="32"/>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32"/>
          <w:szCs w:val="32"/>
          <w:lang w:val="en-US" w:eastAsia="zh-CN" w:bidi="ar"/>
        </w:rPr>
        <w:t> </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第一部分</w:t>
      </w:r>
      <w:r>
        <w:rPr>
          <w:rFonts w:hint="eastAsia" w:ascii="黑体" w:hAnsi="宋体" w:eastAsia="黑体" w:cs="黑体"/>
          <w:b w:val="0"/>
          <w:i w:val="0"/>
          <w:caps w:val="0"/>
          <w:color w:val="333333"/>
          <w:spacing w:val="0"/>
          <w:kern w:val="0"/>
          <w:sz w:val="32"/>
          <w:szCs w:val="32"/>
          <w:lang w:val="en-US" w:eastAsia="zh-CN" w:bidi="ar"/>
        </w:rPr>
        <w:t>  </w:t>
      </w:r>
      <w:r>
        <w:rPr>
          <w:rFonts w:hint="eastAsia" w:ascii="黑体" w:hAnsi="宋体" w:eastAsia="黑体" w:cs="黑体"/>
          <w:b w:val="0"/>
          <w:i w:val="0"/>
          <w:caps w:val="0"/>
          <w:color w:val="333333"/>
          <w:spacing w:val="0"/>
          <w:kern w:val="0"/>
          <w:sz w:val="24"/>
          <w:szCs w:val="24"/>
          <w:lang w:val="en-US" w:eastAsia="zh-CN" w:bidi="ar"/>
        </w:rPr>
        <w:t>中国共产党盈江县委员会统一战线工作部概况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一、主要职能</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（一）主要职能</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ascii="仿宋_GB2312" w:hAnsi="宋体" w:eastAsia="仿宋_GB2312" w:cs="仿宋_GB2312"/>
          <w:b w:val="0"/>
          <w:i w:val="0"/>
          <w:caps w:val="0"/>
          <w:color w:val="333333"/>
          <w:spacing w:val="0"/>
          <w:kern w:val="0"/>
          <w:sz w:val="30"/>
          <w:szCs w:val="30"/>
          <w:lang w:val="en-US" w:eastAsia="zh-CN" w:bidi="ar"/>
        </w:rPr>
        <w:t>1、认真贯彻执行中央、省委、州委、县委及上级主管部门关于统战工作的方针、政策；开展调查研究，反映情况，提出政策性意见和建议；检查督促统战政策执行情况，协调我县统一战线各方面的关系。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2、受县委的委托向民主党派成员、无党派代表人士和县工商联负责人通报情况，听取和反映他们的意见和建议；贯彻落实中国共产党领导的多党合作和政治协商制度，督促有关部门落实参政议政和实行民主监督的各项措施、制度；按照中央、省委、州委有关政策要求，领导县工商联党组，指导工商联工作和有关人民团体搞好自身建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3、贯彻落实和督促检查中央、省委、州委、县委关于民族政策的执行情况；深入基层开展调查研究，及时了解和反映情况；沟通联系全县各族各界人士；协助有关部门做好少数民族干部的培养和举荐工作，做好宗教界人士的宣传教育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4、开展以祖国统一为重点的海外统战工作，联系我县在港、澳、台及海外华侨华人同乡会、有关社团和代表人士；做好台湾在野党派、政治团体的来访工作和台胞、台属的有关事务工作。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5、负责党外人士政治安排。会同有关部门做好培养、考察、选拔、推荐和安排党外人士担任政府和司法机关领导职务的工作；了解和掌握我县党外人士安排、使用及合作共事情况；调查研究我县党外知识分子代表人士的情况，反映意见，协调关系，提出政策性建议，联系并培养党外知识分子的代表人士；会同有关部门做好培养、选拔、举荐党外干部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6、调查研究和反映我县非公有制经济代表人士的情况，协调关系，提出政策性建议；团结、帮助、引导教育非公有制经济代表人士，认真贯彻执行党的路线、方针、政策和国家的法律法规，并积极开展思想政治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7、负责指导各乡(镇)、重点学校、重点厂矿企业党委统战工作，抓好统战干部队伍的培训工作。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8、完成县委和上级统战部门交办的其他工作任务。</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sz w:val="24"/>
          <w:szCs w:val="24"/>
        </w:rPr>
        <w:t>（二）</w:t>
      </w:r>
      <w:r>
        <w:rPr>
          <w:rFonts w:hint="default" w:ascii="楷体" w:hAnsi="楷体" w:eastAsia="楷体" w:cs="楷体"/>
          <w:b w:val="0"/>
          <w:i w:val="0"/>
          <w:caps w:val="0"/>
          <w:color w:val="333333"/>
          <w:spacing w:val="0"/>
          <w:sz w:val="30"/>
          <w:szCs w:val="30"/>
        </w:rPr>
        <w:t>2018年度重点工作任务介绍</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30"/>
          <w:szCs w:val="30"/>
        </w:rPr>
        <w:t>1、以改革开放40年为契机，着力巩固共同的思想政治基础</w:t>
      </w:r>
      <w:r>
        <w:rPr>
          <w:rFonts w:hint="eastAsia" w:ascii="仿宋_GB2312" w:hAnsi="宋体" w:eastAsia="仿宋_GB2312" w:cs="仿宋_GB2312"/>
          <w:b w:val="0"/>
          <w:i w:val="0"/>
          <w:caps w:val="0"/>
          <w:color w:val="333333"/>
          <w:spacing w:val="0"/>
          <w:sz w:val="24"/>
          <w:szCs w:val="24"/>
        </w:rPr>
        <w:t>。</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统一战线的巩固与发展，始终要以牢固的共同思想政治基础为基石，</w:t>
      </w:r>
      <w:r>
        <w:rPr>
          <w:rFonts w:hint="eastAsia" w:ascii="仿宋_GB2312" w:hAnsi="宋体" w:eastAsia="仿宋_GB2312" w:cs="仿宋_GB2312"/>
          <w:b w:val="0"/>
          <w:i w:val="0"/>
          <w:caps w:val="0"/>
          <w:color w:val="333333"/>
          <w:spacing w:val="0"/>
          <w:sz w:val="30"/>
          <w:szCs w:val="30"/>
        </w:rPr>
        <w:t>2018年既是改革开放40周年，又是“五一”口号发布70周年的纪念之年，为筑牢统战对象思想基础，县委统战部（民宗局）积极开展形式多样的活动，努力建立统一战线主导地位，增进共识。一是通过举办各类培训、召开座谈会的方式，把习近平新时代中国特色社会主义思想宣传到统战成员当中，引导他们在思想上、政治上、行动上始终与以习近平同志为核心的党中央保持高度一致，通过“中国之治”与“西方之乱”鲜明对比，加强思想引导，使得统战对象从我国取得的巨大发展成就中认同中国特色社会主义的制度优势和发展前景，坚定他们的政治立场，增强“四个自信”。二是通过举办“同心共筑中国梦”主题演讲比赛，引导各族各界的党外人士共同歌唱改革开放40年以来，在中国共产党的带领下，盈江发生的巨大变化。三是继续在宗教界开展“五个一”和谐寺观教堂创建活动，结合全国性宗教团体联席会议在宗教活动场所升国旗的倡议，进一步增强宗教界人士爱党爱国爱家乡的共同认识。四是先后集中开展了中国特色社会主义主题教育、社会主义核心价值体系教育、非公经济人士理想信念教育实践等专题教育活动，认真</w:t>
      </w:r>
      <w:r>
        <w:rPr>
          <w:rFonts w:hint="eastAsia" w:ascii="仿宋_GB2312" w:hAnsi="宋体" w:eastAsia="仿宋_GB2312" w:cs="仿宋_GB2312"/>
          <w:b w:val="0"/>
          <w:i w:val="0"/>
          <w:caps w:val="0"/>
          <w:color w:val="333333"/>
          <w:spacing w:val="0"/>
          <w:sz w:val="30"/>
          <w:szCs w:val="30"/>
          <w:lang w:eastAsia="zh-CN"/>
        </w:rPr>
        <w:t>学习贯彻</w:t>
      </w:r>
      <w:r>
        <w:rPr>
          <w:rFonts w:hint="eastAsia" w:ascii="仿宋_GB2312" w:hAnsi="宋体" w:eastAsia="仿宋_GB2312" w:cs="仿宋_GB2312"/>
          <w:b w:val="0"/>
          <w:i w:val="0"/>
          <w:caps w:val="0"/>
          <w:color w:val="333333"/>
          <w:spacing w:val="0"/>
          <w:sz w:val="30"/>
          <w:szCs w:val="30"/>
        </w:rPr>
        <w:t>党的十九大精神和</w:t>
      </w:r>
      <w:r>
        <w:rPr>
          <w:rFonts w:hint="eastAsia" w:ascii="仿宋_GB2312" w:hAnsi="宋体" w:eastAsia="仿宋_GB2312" w:cs="仿宋_GB2312"/>
          <w:b w:val="0"/>
          <w:i w:val="0"/>
          <w:caps w:val="0"/>
          <w:color w:val="333333"/>
          <w:spacing w:val="0"/>
          <w:sz w:val="30"/>
          <w:szCs w:val="30"/>
          <w:lang w:eastAsia="zh-CN"/>
        </w:rPr>
        <w:t>习近平总书记系列重要讲话精神</w:t>
      </w:r>
      <w:r>
        <w:rPr>
          <w:rFonts w:hint="eastAsia" w:ascii="仿宋_GB2312" w:hAnsi="宋体" w:eastAsia="仿宋_GB2312" w:cs="仿宋_GB2312"/>
          <w:b w:val="0"/>
          <w:i w:val="0"/>
          <w:caps w:val="0"/>
          <w:color w:val="333333"/>
          <w:spacing w:val="0"/>
          <w:sz w:val="30"/>
          <w:szCs w:val="30"/>
        </w:rPr>
        <w:t>，不断坚定非公经济人士的发展信心。2018年，在宗教场所升挂国旗295面，悬挂爱党、爱国、反邪教、社会主义核心价值观等各种标语350余条，开展唱爱国感党恩歌曲120场次、讲座52场次、实用技术培训36场次，213处宗教活动场所达到民族团结进步创建标准。</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30"/>
          <w:szCs w:val="30"/>
        </w:rPr>
        <w:t>2、着力推进和谐宗教建设，引导宗教与社会主义相适应</w:t>
      </w:r>
      <w:r>
        <w:rPr>
          <w:rFonts w:hint="eastAsia" w:ascii="仿宋_GB2312" w:hAnsi="宋体" w:eastAsia="仿宋_GB2312" w:cs="仿宋_GB2312"/>
          <w:b w:val="0"/>
          <w:i w:val="0"/>
          <w:caps w:val="0"/>
          <w:color w:val="333333"/>
          <w:spacing w:val="0"/>
          <w:sz w:val="24"/>
          <w:szCs w:val="24"/>
        </w:rPr>
        <w:t>。</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盈江县高度重视宗教工作，坚持把宗教工作纳入县委、县政府重点工作，始终把宗教工作摆在事关全县经济社会发展的重要位置来抓。</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w:t>
      </w:r>
      <w:r>
        <w:rPr>
          <w:rFonts w:hint="eastAsia" w:ascii="仿宋_GB2312" w:hAnsi="宋体" w:eastAsia="仿宋_GB2312" w:cs="仿宋_GB2312"/>
          <w:b w:val="0"/>
          <w:i w:val="0"/>
          <w:caps w:val="0"/>
          <w:color w:val="333333"/>
          <w:spacing w:val="0"/>
          <w:sz w:val="30"/>
          <w:szCs w:val="30"/>
        </w:rPr>
        <w:t>1）加强领导，健全宗教工作管理网络。</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w:t>
      </w:r>
      <w:r>
        <w:rPr>
          <w:rFonts w:hint="eastAsia" w:ascii="仿宋_GB2312" w:hAnsi="宋体" w:eastAsia="仿宋_GB2312" w:cs="仿宋_GB2312"/>
          <w:b w:val="0"/>
          <w:i w:val="0"/>
          <w:caps w:val="0"/>
          <w:color w:val="333333"/>
          <w:spacing w:val="0"/>
          <w:sz w:val="30"/>
          <w:szCs w:val="30"/>
        </w:rPr>
        <w:t>2）强化学习宣传，全面贯彻落实新修订《宗教事务条例》。</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w:t>
      </w:r>
      <w:r>
        <w:rPr>
          <w:rFonts w:hint="eastAsia" w:ascii="仿宋_GB2312" w:hAnsi="宋体" w:eastAsia="仿宋_GB2312" w:cs="仿宋_GB2312"/>
          <w:b w:val="0"/>
          <w:i w:val="0"/>
          <w:caps w:val="0"/>
          <w:color w:val="333333"/>
          <w:spacing w:val="0"/>
          <w:sz w:val="30"/>
          <w:szCs w:val="30"/>
        </w:rPr>
        <w:t>3）坚持宗教中国化，引导宗教与社会主义社会相适应。</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w:t>
      </w:r>
      <w:r>
        <w:rPr>
          <w:rFonts w:hint="eastAsia" w:ascii="仿宋_GB2312" w:hAnsi="宋体" w:eastAsia="仿宋_GB2312" w:cs="仿宋_GB2312"/>
          <w:b w:val="0"/>
          <w:i w:val="0"/>
          <w:caps w:val="0"/>
          <w:color w:val="333333"/>
          <w:spacing w:val="0"/>
          <w:sz w:val="30"/>
          <w:szCs w:val="30"/>
        </w:rPr>
        <w:t>4）依法加强管理，维护宗教领域和谐稳定。</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w:t>
      </w:r>
      <w:r>
        <w:rPr>
          <w:rFonts w:hint="eastAsia" w:ascii="仿宋_GB2312" w:hAnsi="宋体" w:eastAsia="仿宋_GB2312" w:cs="仿宋_GB2312"/>
          <w:b w:val="0"/>
          <w:i w:val="0"/>
          <w:caps w:val="0"/>
          <w:color w:val="333333"/>
          <w:spacing w:val="0"/>
          <w:sz w:val="30"/>
          <w:szCs w:val="30"/>
        </w:rPr>
        <w:t>5）坚持问题导向，夯实基层基础，全力推进宗教工作“一网两单”制度建设。</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30"/>
          <w:szCs w:val="30"/>
        </w:rPr>
        <w:t>3、民族经济发展项目顺利实施，少数民族群众生产生活水平有效改善</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30"/>
          <w:szCs w:val="30"/>
        </w:rPr>
        <w:t>4、围绕中心强化服务，非公经济发展不断增强。</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紧紧围绕经济建设为中心，加强对县工商联的指导工作，努力当好政府管理和服务非公有制经济的助手，取得了明显成效。</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w:t>
      </w:r>
      <w:r>
        <w:rPr>
          <w:rFonts w:hint="eastAsia" w:ascii="仿宋_GB2312" w:hAnsi="宋体" w:eastAsia="仿宋_GB2312" w:cs="仿宋_GB2312"/>
          <w:b w:val="0"/>
          <w:i w:val="0"/>
          <w:caps w:val="0"/>
          <w:color w:val="333333"/>
          <w:spacing w:val="0"/>
          <w:sz w:val="30"/>
          <w:szCs w:val="30"/>
        </w:rPr>
        <w:t>1）搭建经贸合作交流平台，服务民企科学发展。</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w:t>
      </w:r>
      <w:r>
        <w:rPr>
          <w:rFonts w:hint="eastAsia" w:ascii="仿宋_GB2312" w:hAnsi="宋体" w:eastAsia="仿宋_GB2312" w:cs="仿宋_GB2312"/>
          <w:b w:val="0"/>
          <w:i w:val="0"/>
          <w:caps w:val="0"/>
          <w:color w:val="333333"/>
          <w:spacing w:val="0"/>
          <w:sz w:val="30"/>
          <w:szCs w:val="30"/>
        </w:rPr>
        <w:t>2）加强团结教育引导，促进非公经济人士健康成长。</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w:t>
      </w:r>
      <w:r>
        <w:rPr>
          <w:rFonts w:hint="eastAsia" w:ascii="仿宋_GB2312" w:hAnsi="宋体" w:eastAsia="仿宋_GB2312" w:cs="仿宋_GB2312"/>
          <w:b w:val="0"/>
          <w:i w:val="0"/>
          <w:caps w:val="0"/>
          <w:color w:val="333333"/>
          <w:spacing w:val="0"/>
          <w:sz w:val="30"/>
          <w:szCs w:val="30"/>
        </w:rPr>
        <w:t>3）认真开展非公经济代表人士综合评价工作</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30"/>
          <w:szCs w:val="30"/>
        </w:rPr>
        <w:t>5、繁荣民族文化，促进民族团结进步示范创建工作取得新突破</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w:t>
      </w:r>
      <w:r>
        <w:rPr>
          <w:rFonts w:hint="eastAsia" w:ascii="仿宋_GB2312" w:hAnsi="宋体" w:eastAsia="仿宋_GB2312" w:cs="仿宋_GB2312"/>
          <w:b w:val="0"/>
          <w:i w:val="0"/>
          <w:caps w:val="0"/>
          <w:color w:val="333333"/>
          <w:spacing w:val="0"/>
          <w:sz w:val="30"/>
          <w:szCs w:val="30"/>
        </w:rPr>
        <w:t>1）做好少数民族文化传承保护和精品打造工作</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w:t>
      </w:r>
      <w:r>
        <w:rPr>
          <w:rFonts w:hint="eastAsia" w:ascii="仿宋_GB2312" w:hAnsi="宋体" w:eastAsia="仿宋_GB2312" w:cs="仿宋_GB2312"/>
          <w:b w:val="0"/>
          <w:i w:val="0"/>
          <w:caps w:val="0"/>
          <w:color w:val="333333"/>
          <w:spacing w:val="0"/>
          <w:sz w:val="30"/>
          <w:szCs w:val="30"/>
        </w:rPr>
        <w:t>2）强化宣传教育，形成浓厚的民族团结进步示范县创建工作氛围。</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30"/>
          <w:szCs w:val="30"/>
        </w:rPr>
        <w:t>6、党外代表人士队伍建设更加规范，对台服务水平有效提高</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w:t>
      </w:r>
      <w:r>
        <w:rPr>
          <w:rFonts w:hint="eastAsia" w:ascii="仿宋_GB2312" w:hAnsi="宋体" w:eastAsia="仿宋_GB2312" w:cs="仿宋_GB2312"/>
          <w:b w:val="0"/>
          <w:i w:val="0"/>
          <w:caps w:val="0"/>
          <w:color w:val="333333"/>
          <w:spacing w:val="0"/>
          <w:sz w:val="30"/>
          <w:szCs w:val="30"/>
        </w:rPr>
        <w:t>1）党外代表人士队伍的培养教育与选拔工作不断提高。</w:t>
      </w:r>
    </w:p>
    <w:p>
      <w:pPr>
        <w:pStyle w:val="6"/>
        <w:keepNext w:val="0"/>
        <w:keepLines w:val="0"/>
        <w:widowControl/>
        <w:suppressLineNumbers w:val="0"/>
        <w:spacing w:before="93" w:beforeAutospacing="0" w:after="210" w:afterAutospacing="0" w:line="600" w:lineRule="atLeast"/>
        <w:ind w:left="0" w:right="0" w:firstLine="420"/>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sz w:val="24"/>
          <w:szCs w:val="24"/>
        </w:rPr>
        <w:t>（</w:t>
      </w:r>
      <w:r>
        <w:rPr>
          <w:rFonts w:hint="eastAsia" w:ascii="仿宋_GB2312" w:hAnsi="宋体" w:eastAsia="仿宋_GB2312" w:cs="仿宋_GB2312"/>
          <w:b w:val="0"/>
          <w:i w:val="0"/>
          <w:caps w:val="0"/>
          <w:color w:val="333333"/>
          <w:spacing w:val="0"/>
          <w:sz w:val="30"/>
          <w:szCs w:val="30"/>
        </w:rPr>
        <w:t>2）对台工作的认识不断深化，海外统战工作水平有效提高。</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二、部门基本情况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（一）部门决算单位构成</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纳入中国共产党盈江县委员会统一战线工作部</w:t>
      </w:r>
      <w:r>
        <w:rPr>
          <w:rFonts w:hint="eastAsia" w:ascii="仿宋_GB2312" w:hAnsi="宋体" w:eastAsia="仿宋_GB2312" w:cs="仿宋_GB2312"/>
          <w:b w:val="0"/>
          <w:i w:val="0"/>
          <w:caps w:val="0"/>
          <w:color w:val="333333"/>
          <w:spacing w:val="0"/>
          <w:kern w:val="0"/>
          <w:sz w:val="30"/>
          <w:szCs w:val="30"/>
          <w:lang w:val="en-US" w:eastAsia="zh-CN" w:bidi="ar"/>
        </w:rPr>
        <w:t>2018年度部门决算编报的单位共1个。其中：行政单位1个，参照公务员法管理的事业单位0</w:t>
      </w:r>
      <w:r>
        <w:rPr>
          <w:rFonts w:hint="eastAsia" w:ascii="仿宋_GB2312" w:hAnsi="宋体" w:eastAsia="仿宋_GB2312" w:cs="仿宋_GB2312"/>
          <w:b w:val="0"/>
          <w:i w:val="0"/>
          <w:caps w:val="0"/>
          <w:color w:val="333333"/>
          <w:spacing w:val="0"/>
          <w:kern w:val="0"/>
          <w:sz w:val="24"/>
          <w:szCs w:val="24"/>
          <w:lang w:val="en-US" w:eastAsia="zh-CN" w:bidi="ar"/>
        </w:rPr>
        <w:t>个，其他事业单位</w:t>
      </w:r>
      <w:r>
        <w:rPr>
          <w:rFonts w:hint="eastAsia" w:ascii="仿宋_GB2312" w:hAnsi="宋体" w:eastAsia="仿宋_GB2312" w:cs="仿宋_GB2312"/>
          <w:b w:val="0"/>
          <w:i w:val="0"/>
          <w:caps w:val="0"/>
          <w:color w:val="333333"/>
          <w:spacing w:val="0"/>
          <w:kern w:val="0"/>
          <w:sz w:val="30"/>
          <w:szCs w:val="30"/>
          <w:lang w:val="en-US" w:eastAsia="zh-CN" w:bidi="ar"/>
        </w:rPr>
        <w:t>0个。</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（二）部门人员和车辆的编制及实有情况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中国共产党盈江县委员会统一战线工作部</w:t>
      </w:r>
      <w:r>
        <w:rPr>
          <w:rFonts w:hint="eastAsia" w:ascii="仿宋_GB2312" w:hAnsi="宋体" w:eastAsia="仿宋_GB2312" w:cs="仿宋_GB2312"/>
          <w:b w:val="0"/>
          <w:i w:val="0"/>
          <w:caps w:val="0"/>
          <w:color w:val="333333"/>
          <w:spacing w:val="0"/>
          <w:kern w:val="0"/>
          <w:sz w:val="30"/>
          <w:szCs w:val="30"/>
          <w:lang w:val="en-US" w:eastAsia="zh-CN" w:bidi="ar"/>
        </w:rPr>
        <w:t>2018年末实有人员编制6</w:t>
      </w:r>
      <w:r>
        <w:rPr>
          <w:rFonts w:hint="eastAsia" w:ascii="仿宋_GB2312" w:hAnsi="宋体" w:eastAsia="仿宋_GB2312" w:cs="仿宋_GB2312"/>
          <w:b w:val="0"/>
          <w:i w:val="0"/>
          <w:caps w:val="0"/>
          <w:color w:val="333333"/>
          <w:spacing w:val="0"/>
          <w:kern w:val="0"/>
          <w:sz w:val="24"/>
          <w:szCs w:val="24"/>
          <w:lang w:val="en-US" w:eastAsia="zh-CN" w:bidi="ar"/>
        </w:rPr>
        <w:t>人。其中：行政编制</w:t>
      </w:r>
      <w:r>
        <w:rPr>
          <w:rFonts w:hint="eastAsia" w:ascii="仿宋_GB2312" w:hAnsi="宋体" w:eastAsia="仿宋_GB2312" w:cs="仿宋_GB2312"/>
          <w:b w:val="0"/>
          <w:i w:val="0"/>
          <w:caps w:val="0"/>
          <w:color w:val="333333"/>
          <w:spacing w:val="0"/>
          <w:kern w:val="0"/>
          <w:sz w:val="30"/>
          <w:szCs w:val="30"/>
          <w:lang w:val="en-US" w:eastAsia="zh-CN" w:bidi="ar"/>
        </w:rPr>
        <w:t>6</w:t>
      </w:r>
      <w:r>
        <w:rPr>
          <w:rFonts w:hint="eastAsia" w:ascii="仿宋_GB2312" w:hAnsi="宋体" w:eastAsia="仿宋_GB2312" w:cs="仿宋_GB2312"/>
          <w:b w:val="0"/>
          <w:i w:val="0"/>
          <w:caps w:val="0"/>
          <w:color w:val="333333"/>
          <w:spacing w:val="0"/>
          <w:kern w:val="0"/>
          <w:sz w:val="24"/>
          <w:szCs w:val="24"/>
          <w:lang w:val="en-US" w:eastAsia="zh-CN" w:bidi="ar"/>
        </w:rPr>
        <w:t>人（含行政工勤编制</w:t>
      </w:r>
      <w:r>
        <w:rPr>
          <w:rFonts w:hint="eastAsia" w:ascii="仿宋_GB2312" w:hAnsi="宋体" w:eastAsia="仿宋_GB2312" w:cs="仿宋_GB2312"/>
          <w:b w:val="0"/>
          <w:i w:val="0"/>
          <w:caps w:val="0"/>
          <w:color w:val="333333"/>
          <w:spacing w:val="0"/>
          <w:kern w:val="0"/>
          <w:sz w:val="30"/>
          <w:szCs w:val="30"/>
          <w:lang w:val="en-US" w:eastAsia="zh-CN" w:bidi="ar"/>
        </w:rPr>
        <w:t>1</w:t>
      </w:r>
      <w:r>
        <w:rPr>
          <w:rFonts w:hint="eastAsia" w:ascii="仿宋_GB2312" w:hAnsi="宋体" w:eastAsia="仿宋_GB2312" w:cs="仿宋_GB2312"/>
          <w:b w:val="0"/>
          <w:i w:val="0"/>
          <w:caps w:val="0"/>
          <w:color w:val="333333"/>
          <w:spacing w:val="0"/>
          <w:kern w:val="0"/>
          <w:sz w:val="24"/>
          <w:szCs w:val="24"/>
          <w:lang w:val="en-US" w:eastAsia="zh-CN" w:bidi="ar"/>
        </w:rPr>
        <w:t>人），事业编制</w:t>
      </w:r>
      <w:r>
        <w:rPr>
          <w:rFonts w:hint="eastAsia" w:ascii="仿宋_GB2312" w:hAnsi="宋体" w:eastAsia="仿宋_GB2312" w:cs="仿宋_GB2312"/>
          <w:b w:val="0"/>
          <w:i w:val="0"/>
          <w:caps w:val="0"/>
          <w:color w:val="333333"/>
          <w:spacing w:val="0"/>
          <w:kern w:val="0"/>
          <w:sz w:val="30"/>
          <w:szCs w:val="30"/>
          <w:lang w:val="en-US" w:eastAsia="zh-CN" w:bidi="ar"/>
        </w:rPr>
        <w:t>0</w:t>
      </w:r>
      <w:r>
        <w:rPr>
          <w:rFonts w:hint="eastAsia" w:ascii="仿宋_GB2312" w:hAnsi="宋体" w:eastAsia="仿宋_GB2312" w:cs="仿宋_GB2312"/>
          <w:b w:val="0"/>
          <w:i w:val="0"/>
          <w:caps w:val="0"/>
          <w:color w:val="333333"/>
          <w:spacing w:val="0"/>
          <w:kern w:val="0"/>
          <w:sz w:val="24"/>
          <w:szCs w:val="24"/>
          <w:lang w:val="en-US" w:eastAsia="zh-CN" w:bidi="ar"/>
        </w:rPr>
        <w:t>人（含参公管理事业编制</w:t>
      </w:r>
      <w:r>
        <w:rPr>
          <w:rFonts w:hint="eastAsia" w:ascii="仿宋_GB2312" w:hAnsi="宋体" w:eastAsia="仿宋_GB2312" w:cs="仿宋_GB2312"/>
          <w:b w:val="0"/>
          <w:i w:val="0"/>
          <w:caps w:val="0"/>
          <w:color w:val="333333"/>
          <w:spacing w:val="0"/>
          <w:kern w:val="0"/>
          <w:sz w:val="30"/>
          <w:szCs w:val="30"/>
          <w:lang w:val="en-US" w:eastAsia="zh-CN" w:bidi="ar"/>
        </w:rPr>
        <w:t>0</w:t>
      </w:r>
      <w:r>
        <w:rPr>
          <w:rFonts w:hint="eastAsia" w:ascii="仿宋_GB2312" w:hAnsi="宋体" w:eastAsia="仿宋_GB2312" w:cs="仿宋_GB2312"/>
          <w:b w:val="0"/>
          <w:i w:val="0"/>
          <w:caps w:val="0"/>
          <w:color w:val="333333"/>
          <w:spacing w:val="0"/>
          <w:kern w:val="0"/>
          <w:sz w:val="24"/>
          <w:szCs w:val="24"/>
          <w:lang w:val="en-US" w:eastAsia="zh-CN" w:bidi="ar"/>
        </w:rPr>
        <w:t>人）；在职在编实有行政人员</w:t>
      </w:r>
      <w:r>
        <w:rPr>
          <w:rFonts w:hint="eastAsia" w:ascii="仿宋_GB2312" w:hAnsi="宋体" w:eastAsia="仿宋_GB2312" w:cs="仿宋_GB2312"/>
          <w:b w:val="0"/>
          <w:i w:val="0"/>
          <w:caps w:val="0"/>
          <w:color w:val="333333"/>
          <w:spacing w:val="0"/>
          <w:kern w:val="0"/>
          <w:sz w:val="30"/>
          <w:szCs w:val="30"/>
          <w:lang w:val="en-US" w:eastAsia="zh-CN" w:bidi="ar"/>
        </w:rPr>
        <w:t>11</w:t>
      </w:r>
      <w:r>
        <w:rPr>
          <w:rFonts w:hint="eastAsia" w:ascii="仿宋_GB2312" w:hAnsi="宋体" w:eastAsia="仿宋_GB2312" w:cs="仿宋_GB2312"/>
          <w:b w:val="0"/>
          <w:i w:val="0"/>
          <w:caps w:val="0"/>
          <w:color w:val="333333"/>
          <w:spacing w:val="0"/>
          <w:kern w:val="0"/>
          <w:sz w:val="24"/>
          <w:szCs w:val="24"/>
          <w:lang w:val="en-US" w:eastAsia="zh-CN" w:bidi="ar"/>
        </w:rPr>
        <w:t>人（含行政工勤人员</w:t>
      </w:r>
      <w:r>
        <w:rPr>
          <w:rFonts w:hint="eastAsia" w:ascii="仿宋_GB2312" w:hAnsi="宋体" w:eastAsia="仿宋_GB2312" w:cs="仿宋_GB2312"/>
          <w:b w:val="0"/>
          <w:i w:val="0"/>
          <w:caps w:val="0"/>
          <w:color w:val="333333"/>
          <w:spacing w:val="0"/>
          <w:kern w:val="0"/>
          <w:sz w:val="30"/>
          <w:szCs w:val="30"/>
          <w:lang w:val="en-US" w:eastAsia="zh-CN" w:bidi="ar"/>
        </w:rPr>
        <w:t>2</w:t>
      </w:r>
      <w:r>
        <w:rPr>
          <w:rFonts w:hint="eastAsia" w:ascii="仿宋_GB2312" w:hAnsi="宋体" w:eastAsia="仿宋_GB2312" w:cs="仿宋_GB2312"/>
          <w:b w:val="0"/>
          <w:i w:val="0"/>
          <w:caps w:val="0"/>
          <w:color w:val="333333"/>
          <w:spacing w:val="0"/>
          <w:kern w:val="0"/>
          <w:sz w:val="24"/>
          <w:szCs w:val="24"/>
          <w:lang w:val="en-US" w:eastAsia="zh-CN" w:bidi="ar"/>
        </w:rPr>
        <w:t>人），事业人员</w:t>
      </w:r>
      <w:r>
        <w:rPr>
          <w:rFonts w:hint="eastAsia" w:ascii="仿宋_GB2312" w:hAnsi="宋体" w:eastAsia="仿宋_GB2312" w:cs="仿宋_GB2312"/>
          <w:b w:val="0"/>
          <w:i w:val="0"/>
          <w:caps w:val="0"/>
          <w:color w:val="333333"/>
          <w:spacing w:val="0"/>
          <w:kern w:val="0"/>
          <w:sz w:val="30"/>
          <w:szCs w:val="30"/>
          <w:lang w:val="en-US" w:eastAsia="zh-CN" w:bidi="ar"/>
        </w:rPr>
        <w:t>0</w:t>
      </w:r>
      <w:r>
        <w:rPr>
          <w:rFonts w:hint="eastAsia" w:ascii="仿宋_GB2312" w:hAnsi="宋体" w:eastAsia="仿宋_GB2312" w:cs="仿宋_GB2312"/>
          <w:b w:val="0"/>
          <w:i w:val="0"/>
          <w:caps w:val="0"/>
          <w:color w:val="333333"/>
          <w:spacing w:val="0"/>
          <w:kern w:val="0"/>
          <w:sz w:val="24"/>
          <w:szCs w:val="24"/>
          <w:lang w:val="en-US" w:eastAsia="zh-CN" w:bidi="ar"/>
        </w:rPr>
        <w:t>人（含参公管理事业人员</w:t>
      </w:r>
      <w:r>
        <w:rPr>
          <w:rFonts w:hint="eastAsia" w:ascii="仿宋_GB2312" w:hAnsi="宋体" w:eastAsia="仿宋_GB2312" w:cs="仿宋_GB2312"/>
          <w:b w:val="0"/>
          <w:i w:val="0"/>
          <w:caps w:val="0"/>
          <w:color w:val="333333"/>
          <w:spacing w:val="0"/>
          <w:kern w:val="0"/>
          <w:sz w:val="30"/>
          <w:szCs w:val="30"/>
          <w:lang w:val="en-US" w:eastAsia="zh-CN" w:bidi="ar"/>
        </w:rPr>
        <w:t>0</w:t>
      </w:r>
      <w:r>
        <w:rPr>
          <w:rFonts w:hint="eastAsia" w:ascii="仿宋_GB2312" w:hAnsi="宋体" w:eastAsia="仿宋_GB2312" w:cs="仿宋_GB2312"/>
          <w:b w:val="0"/>
          <w:i w:val="0"/>
          <w:caps w:val="0"/>
          <w:color w:val="333333"/>
          <w:spacing w:val="0"/>
          <w:kern w:val="0"/>
          <w:sz w:val="24"/>
          <w:szCs w:val="24"/>
          <w:lang w:val="en-US" w:eastAsia="zh-CN" w:bidi="ar"/>
        </w:rPr>
        <w:t>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离退休人员</w:t>
      </w:r>
      <w:r>
        <w:rPr>
          <w:rFonts w:hint="eastAsia" w:ascii="仿宋_GB2312" w:hAnsi="宋体" w:eastAsia="仿宋_GB2312" w:cs="仿宋_GB2312"/>
          <w:b w:val="0"/>
          <w:i w:val="0"/>
          <w:caps w:val="0"/>
          <w:color w:val="333333"/>
          <w:spacing w:val="0"/>
          <w:kern w:val="0"/>
          <w:sz w:val="30"/>
          <w:szCs w:val="30"/>
          <w:lang w:val="en-US" w:eastAsia="zh-CN" w:bidi="ar"/>
        </w:rPr>
        <w:t>7</w:t>
      </w:r>
      <w:r>
        <w:rPr>
          <w:rFonts w:hint="eastAsia" w:ascii="仿宋_GB2312" w:hAnsi="宋体" w:eastAsia="仿宋_GB2312" w:cs="仿宋_GB2312"/>
          <w:b w:val="0"/>
          <w:i w:val="0"/>
          <w:caps w:val="0"/>
          <w:color w:val="333333"/>
          <w:spacing w:val="0"/>
          <w:kern w:val="0"/>
          <w:sz w:val="24"/>
          <w:szCs w:val="24"/>
          <w:lang w:val="en-US" w:eastAsia="zh-CN" w:bidi="ar"/>
        </w:rPr>
        <w:t>人。其中：离休</w:t>
      </w:r>
      <w:r>
        <w:rPr>
          <w:rFonts w:hint="eastAsia" w:ascii="仿宋_GB2312" w:hAnsi="宋体" w:eastAsia="仿宋_GB2312" w:cs="仿宋_GB2312"/>
          <w:b w:val="0"/>
          <w:i w:val="0"/>
          <w:caps w:val="0"/>
          <w:color w:val="333333"/>
          <w:spacing w:val="0"/>
          <w:kern w:val="0"/>
          <w:sz w:val="30"/>
          <w:szCs w:val="30"/>
          <w:lang w:val="en-US" w:eastAsia="zh-CN" w:bidi="ar"/>
        </w:rPr>
        <w:t>0</w:t>
      </w:r>
      <w:r>
        <w:rPr>
          <w:rFonts w:hint="eastAsia" w:ascii="仿宋_GB2312" w:hAnsi="宋体" w:eastAsia="仿宋_GB2312" w:cs="仿宋_GB2312"/>
          <w:b w:val="0"/>
          <w:i w:val="0"/>
          <w:caps w:val="0"/>
          <w:color w:val="333333"/>
          <w:spacing w:val="0"/>
          <w:kern w:val="0"/>
          <w:sz w:val="24"/>
          <w:szCs w:val="24"/>
          <w:lang w:val="en-US" w:eastAsia="zh-CN" w:bidi="ar"/>
        </w:rPr>
        <w:t>人，退休</w:t>
      </w:r>
      <w:r>
        <w:rPr>
          <w:rFonts w:hint="eastAsia" w:ascii="仿宋_GB2312" w:hAnsi="宋体" w:eastAsia="仿宋_GB2312" w:cs="仿宋_GB2312"/>
          <w:b w:val="0"/>
          <w:i w:val="0"/>
          <w:caps w:val="0"/>
          <w:color w:val="333333"/>
          <w:spacing w:val="0"/>
          <w:kern w:val="0"/>
          <w:sz w:val="30"/>
          <w:szCs w:val="30"/>
          <w:lang w:val="en-US" w:eastAsia="zh-CN" w:bidi="ar"/>
        </w:rPr>
        <w:t>7</w:t>
      </w:r>
      <w:r>
        <w:rPr>
          <w:rFonts w:hint="eastAsia" w:ascii="仿宋_GB2312" w:hAnsi="宋体" w:eastAsia="仿宋_GB2312" w:cs="仿宋_GB2312"/>
          <w:b w:val="0"/>
          <w:i w:val="0"/>
          <w:caps w:val="0"/>
          <w:color w:val="333333"/>
          <w:spacing w:val="0"/>
          <w:kern w:val="0"/>
          <w:sz w:val="24"/>
          <w:szCs w:val="24"/>
          <w:lang w:val="en-US" w:eastAsia="zh-CN" w:bidi="ar"/>
        </w:rPr>
        <w:t>人。（退休人员纳入社保发放）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实有车辆编制</w:t>
      </w:r>
      <w:r>
        <w:rPr>
          <w:rFonts w:hint="eastAsia" w:ascii="仿宋_GB2312" w:hAnsi="宋体" w:eastAsia="仿宋_GB2312" w:cs="仿宋_GB2312"/>
          <w:b w:val="0"/>
          <w:i w:val="0"/>
          <w:caps w:val="0"/>
          <w:color w:val="333333"/>
          <w:spacing w:val="0"/>
          <w:kern w:val="0"/>
          <w:sz w:val="30"/>
          <w:szCs w:val="30"/>
          <w:lang w:val="en-US" w:eastAsia="zh-CN" w:bidi="ar"/>
        </w:rPr>
        <w:t>0</w:t>
      </w:r>
      <w:r>
        <w:rPr>
          <w:rFonts w:hint="eastAsia" w:ascii="仿宋_GB2312" w:hAnsi="宋体" w:eastAsia="仿宋_GB2312" w:cs="仿宋_GB2312"/>
          <w:b w:val="0"/>
          <w:i w:val="0"/>
          <w:caps w:val="0"/>
          <w:color w:val="333333"/>
          <w:spacing w:val="0"/>
          <w:kern w:val="0"/>
          <w:sz w:val="24"/>
          <w:szCs w:val="24"/>
          <w:lang w:val="en-US" w:eastAsia="zh-CN" w:bidi="ar"/>
        </w:rPr>
        <w:t>辆，在编实有车辆</w:t>
      </w:r>
      <w:r>
        <w:rPr>
          <w:rFonts w:hint="eastAsia" w:ascii="仿宋_GB2312" w:hAnsi="宋体" w:eastAsia="仿宋_GB2312" w:cs="仿宋_GB2312"/>
          <w:b w:val="0"/>
          <w:i w:val="0"/>
          <w:caps w:val="0"/>
          <w:color w:val="333333"/>
          <w:spacing w:val="0"/>
          <w:kern w:val="0"/>
          <w:sz w:val="30"/>
          <w:szCs w:val="30"/>
          <w:lang w:val="en-US" w:eastAsia="zh-CN" w:bidi="ar"/>
        </w:rPr>
        <w:t>0</w:t>
      </w:r>
      <w:r>
        <w:rPr>
          <w:rFonts w:hint="eastAsia" w:ascii="仿宋_GB2312" w:hAnsi="宋体" w:eastAsia="仿宋_GB2312" w:cs="仿宋_GB2312"/>
          <w:b w:val="0"/>
          <w:i w:val="0"/>
          <w:caps w:val="0"/>
          <w:color w:val="333333"/>
          <w:spacing w:val="0"/>
          <w:kern w:val="0"/>
          <w:sz w:val="24"/>
          <w:szCs w:val="24"/>
          <w:lang w:val="en-US" w:eastAsia="zh-CN" w:bidi="ar"/>
        </w:rPr>
        <w:t>辆。</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第二部分</w:t>
      </w:r>
      <w:r>
        <w:rPr>
          <w:rFonts w:hint="eastAsia" w:ascii="黑体" w:hAnsi="宋体" w:eastAsia="黑体" w:cs="黑体"/>
          <w:b w:val="0"/>
          <w:i w:val="0"/>
          <w:caps w:val="0"/>
          <w:color w:val="333333"/>
          <w:spacing w:val="0"/>
          <w:kern w:val="0"/>
          <w:sz w:val="32"/>
          <w:szCs w:val="32"/>
          <w:lang w:val="en-US" w:eastAsia="zh-CN" w:bidi="ar"/>
        </w:rPr>
        <w:t>  2018年度部门决算表</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（详见附件）</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 </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第三部分</w:t>
      </w:r>
      <w:r>
        <w:rPr>
          <w:rFonts w:hint="eastAsia" w:ascii="黑体" w:hAnsi="宋体" w:eastAsia="黑体" w:cs="黑体"/>
          <w:b w:val="0"/>
          <w:i w:val="0"/>
          <w:caps w:val="0"/>
          <w:color w:val="333333"/>
          <w:spacing w:val="0"/>
          <w:kern w:val="0"/>
          <w:sz w:val="32"/>
          <w:szCs w:val="32"/>
          <w:lang w:val="en-US" w:eastAsia="zh-CN" w:bidi="ar"/>
        </w:rPr>
        <w:t>  2018年度部门决算情况说明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一、收入决算情况说明</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中国共产党盈江县委员会统一战线工作部</w:t>
      </w:r>
      <w:r>
        <w:rPr>
          <w:rFonts w:hint="eastAsia" w:ascii="仿宋_GB2312" w:hAnsi="宋体" w:eastAsia="仿宋_GB2312" w:cs="仿宋_GB2312"/>
          <w:b w:val="0"/>
          <w:i w:val="0"/>
          <w:caps w:val="0"/>
          <w:color w:val="333333"/>
          <w:spacing w:val="0"/>
          <w:kern w:val="0"/>
          <w:sz w:val="30"/>
          <w:szCs w:val="30"/>
          <w:lang w:val="en-US" w:eastAsia="zh-CN" w:bidi="ar"/>
        </w:rPr>
        <w:t>2018年度收入合计</w:t>
      </w:r>
      <w:r>
        <w:rPr>
          <w:rFonts w:hint="eastAsia" w:ascii="仿宋_GB2312" w:hAnsi="宋体" w:eastAsia="仿宋_GB2312" w:cs="仿宋_GB2312"/>
          <w:b w:val="0"/>
          <w:i w:val="0"/>
          <w:caps w:val="0"/>
          <w:color w:val="333333"/>
          <w:spacing w:val="0"/>
          <w:kern w:val="0"/>
          <w:sz w:val="32"/>
          <w:szCs w:val="32"/>
          <w:lang w:val="en-US" w:eastAsia="zh-CN" w:bidi="ar"/>
        </w:rPr>
        <w:t>229.81</w:t>
      </w:r>
      <w:r>
        <w:rPr>
          <w:rFonts w:hint="eastAsia" w:ascii="仿宋_GB2312" w:hAnsi="宋体" w:eastAsia="仿宋_GB2312" w:cs="仿宋_GB2312"/>
          <w:b w:val="0"/>
          <w:i w:val="0"/>
          <w:caps w:val="0"/>
          <w:color w:val="333333"/>
          <w:spacing w:val="0"/>
          <w:kern w:val="0"/>
          <w:sz w:val="24"/>
          <w:szCs w:val="24"/>
          <w:lang w:val="en-US" w:eastAsia="zh-CN" w:bidi="ar"/>
        </w:rPr>
        <w:t>万元。其中：财政拨款收入</w:t>
      </w:r>
      <w:r>
        <w:rPr>
          <w:rFonts w:hint="eastAsia" w:ascii="仿宋_GB2312" w:hAnsi="宋体" w:eastAsia="仿宋_GB2312" w:cs="仿宋_GB2312"/>
          <w:b w:val="0"/>
          <w:i w:val="0"/>
          <w:caps w:val="0"/>
          <w:color w:val="333333"/>
          <w:spacing w:val="0"/>
          <w:kern w:val="0"/>
          <w:sz w:val="32"/>
          <w:szCs w:val="32"/>
          <w:lang w:val="en-US" w:eastAsia="zh-CN" w:bidi="ar"/>
        </w:rPr>
        <w:t>229.81</w:t>
      </w:r>
      <w:r>
        <w:rPr>
          <w:rFonts w:hint="eastAsia" w:ascii="仿宋_GB2312" w:hAnsi="宋体" w:eastAsia="仿宋_GB2312" w:cs="仿宋_GB2312"/>
          <w:b w:val="0"/>
          <w:i w:val="0"/>
          <w:caps w:val="0"/>
          <w:color w:val="333333"/>
          <w:spacing w:val="0"/>
          <w:kern w:val="0"/>
          <w:sz w:val="24"/>
          <w:szCs w:val="24"/>
          <w:lang w:val="en-US" w:eastAsia="zh-CN" w:bidi="ar"/>
        </w:rPr>
        <w:t>万元，占总收入的</w:t>
      </w:r>
      <w:r>
        <w:rPr>
          <w:rFonts w:hint="eastAsia" w:ascii="仿宋_GB2312" w:hAnsi="宋体" w:eastAsia="仿宋_GB2312" w:cs="仿宋_GB2312"/>
          <w:b w:val="0"/>
          <w:i w:val="0"/>
          <w:caps w:val="0"/>
          <w:color w:val="333333"/>
          <w:spacing w:val="0"/>
          <w:kern w:val="0"/>
          <w:sz w:val="30"/>
          <w:szCs w:val="30"/>
          <w:lang w:val="en-US" w:eastAsia="zh-CN" w:bidi="ar"/>
        </w:rPr>
        <w:t>100%。</w:t>
      </w:r>
      <w:r>
        <w:rPr>
          <w:rFonts w:hint="eastAsia" w:ascii="仿宋_GB2312" w:hAnsi="宋体" w:eastAsia="仿宋_GB2312" w:cs="仿宋_GB2312"/>
          <w:b w:val="0"/>
          <w:i w:val="0"/>
          <w:caps w:val="0"/>
          <w:color w:val="333333"/>
          <w:spacing w:val="0"/>
          <w:kern w:val="0"/>
          <w:sz w:val="24"/>
          <w:szCs w:val="24"/>
          <w:lang w:val="en-US" w:eastAsia="zh-CN" w:bidi="ar"/>
        </w:rPr>
        <w:t>事业收入</w:t>
      </w:r>
      <w:r>
        <w:rPr>
          <w:rFonts w:hint="eastAsia" w:ascii="仿宋_GB2312" w:hAnsi="宋体" w:eastAsia="仿宋_GB2312" w:cs="仿宋_GB2312"/>
          <w:b w:val="0"/>
          <w:i w:val="0"/>
          <w:caps w:val="0"/>
          <w:color w:val="333333"/>
          <w:spacing w:val="0"/>
          <w:kern w:val="0"/>
          <w:sz w:val="30"/>
          <w:szCs w:val="30"/>
          <w:lang w:val="en-US" w:eastAsia="zh-CN" w:bidi="ar"/>
        </w:rPr>
        <w:t>0</w:t>
      </w:r>
      <w:r>
        <w:rPr>
          <w:rFonts w:hint="eastAsia" w:ascii="仿宋_GB2312" w:hAnsi="宋体" w:eastAsia="仿宋_GB2312" w:cs="仿宋_GB2312"/>
          <w:b w:val="0"/>
          <w:i w:val="0"/>
          <w:caps w:val="0"/>
          <w:color w:val="333333"/>
          <w:spacing w:val="0"/>
          <w:kern w:val="0"/>
          <w:sz w:val="24"/>
          <w:szCs w:val="24"/>
          <w:lang w:val="en-US" w:eastAsia="zh-CN" w:bidi="ar"/>
        </w:rPr>
        <w:t>万元，占总收入的</w:t>
      </w:r>
      <w:r>
        <w:rPr>
          <w:rFonts w:hint="eastAsia" w:ascii="仿宋_GB2312" w:hAnsi="宋体" w:eastAsia="仿宋_GB2312" w:cs="仿宋_GB2312"/>
          <w:b w:val="0"/>
          <w:i w:val="0"/>
          <w:caps w:val="0"/>
          <w:color w:val="333333"/>
          <w:spacing w:val="0"/>
          <w:kern w:val="0"/>
          <w:sz w:val="30"/>
          <w:szCs w:val="30"/>
          <w:lang w:val="en-US" w:eastAsia="zh-CN" w:bidi="ar"/>
        </w:rPr>
        <w:t>0%；经营收入0</w:t>
      </w:r>
      <w:r>
        <w:rPr>
          <w:rFonts w:hint="eastAsia" w:ascii="仿宋_GB2312" w:hAnsi="宋体" w:eastAsia="仿宋_GB2312" w:cs="仿宋_GB2312"/>
          <w:b w:val="0"/>
          <w:i w:val="0"/>
          <w:caps w:val="0"/>
          <w:color w:val="333333"/>
          <w:spacing w:val="0"/>
          <w:kern w:val="0"/>
          <w:sz w:val="24"/>
          <w:szCs w:val="24"/>
          <w:lang w:val="en-US" w:eastAsia="zh-CN" w:bidi="ar"/>
        </w:rPr>
        <w:t>万元，占总收入的</w:t>
      </w:r>
      <w:r>
        <w:rPr>
          <w:rFonts w:hint="eastAsia" w:ascii="仿宋_GB2312" w:hAnsi="宋体" w:eastAsia="仿宋_GB2312" w:cs="仿宋_GB2312"/>
          <w:b w:val="0"/>
          <w:i w:val="0"/>
          <w:caps w:val="0"/>
          <w:color w:val="333333"/>
          <w:spacing w:val="0"/>
          <w:kern w:val="0"/>
          <w:sz w:val="30"/>
          <w:szCs w:val="30"/>
          <w:lang w:val="en-US" w:eastAsia="zh-CN" w:bidi="ar"/>
        </w:rPr>
        <w:t>0%；附属单位缴款收入0</w:t>
      </w:r>
      <w:r>
        <w:rPr>
          <w:rFonts w:hint="eastAsia" w:ascii="仿宋_GB2312" w:hAnsi="宋体" w:eastAsia="仿宋_GB2312" w:cs="仿宋_GB2312"/>
          <w:b w:val="0"/>
          <w:i w:val="0"/>
          <w:caps w:val="0"/>
          <w:color w:val="333333"/>
          <w:spacing w:val="0"/>
          <w:kern w:val="0"/>
          <w:sz w:val="24"/>
          <w:szCs w:val="24"/>
          <w:lang w:val="en-US" w:eastAsia="zh-CN" w:bidi="ar"/>
        </w:rPr>
        <w:t>万元，占总收入的</w:t>
      </w:r>
      <w:r>
        <w:rPr>
          <w:rFonts w:hint="eastAsia" w:ascii="仿宋_GB2312" w:hAnsi="宋体" w:eastAsia="仿宋_GB2312" w:cs="仿宋_GB2312"/>
          <w:b w:val="0"/>
          <w:i w:val="0"/>
          <w:caps w:val="0"/>
          <w:color w:val="333333"/>
          <w:spacing w:val="0"/>
          <w:kern w:val="0"/>
          <w:sz w:val="30"/>
          <w:szCs w:val="30"/>
          <w:lang w:val="en-US" w:eastAsia="zh-CN" w:bidi="ar"/>
        </w:rPr>
        <w:t>0%；其他收入0</w:t>
      </w:r>
      <w:r>
        <w:rPr>
          <w:rFonts w:hint="eastAsia" w:ascii="仿宋_GB2312" w:hAnsi="宋体" w:eastAsia="仿宋_GB2312" w:cs="仿宋_GB2312"/>
          <w:b w:val="0"/>
          <w:i w:val="0"/>
          <w:caps w:val="0"/>
          <w:color w:val="333333"/>
          <w:spacing w:val="0"/>
          <w:kern w:val="0"/>
          <w:sz w:val="24"/>
          <w:szCs w:val="24"/>
          <w:lang w:val="en-US" w:eastAsia="zh-CN" w:bidi="ar"/>
        </w:rPr>
        <w:t>万元，占总收入的</w:t>
      </w:r>
      <w:r>
        <w:rPr>
          <w:rFonts w:hint="eastAsia" w:ascii="仿宋_GB2312" w:hAnsi="宋体" w:eastAsia="仿宋_GB2312" w:cs="仿宋_GB2312"/>
          <w:b w:val="0"/>
          <w:i w:val="0"/>
          <w:caps w:val="0"/>
          <w:color w:val="333333"/>
          <w:spacing w:val="0"/>
          <w:kern w:val="0"/>
          <w:sz w:val="30"/>
          <w:szCs w:val="30"/>
          <w:lang w:val="en-US" w:eastAsia="zh-CN" w:bidi="ar"/>
        </w:rPr>
        <w:t>0%。</w:t>
      </w:r>
      <w:r>
        <w:rPr>
          <w:rFonts w:hint="eastAsia" w:ascii="仿宋_GB2312" w:hAnsi="宋体" w:eastAsia="仿宋_GB2312" w:cs="仿宋_GB2312"/>
          <w:b w:val="0"/>
          <w:i w:val="0"/>
          <w:caps w:val="0"/>
          <w:color w:val="333333"/>
          <w:spacing w:val="0"/>
          <w:kern w:val="0"/>
          <w:sz w:val="24"/>
          <w:szCs w:val="24"/>
          <w:lang w:val="en-US" w:eastAsia="zh-CN" w:bidi="ar"/>
        </w:rPr>
        <w:t>与上年收入合计</w:t>
      </w:r>
      <w:r>
        <w:rPr>
          <w:rFonts w:hint="eastAsia" w:ascii="仿宋_GB2312" w:hAnsi="宋体" w:eastAsia="仿宋_GB2312" w:cs="仿宋_GB2312"/>
          <w:b w:val="0"/>
          <w:i w:val="0"/>
          <w:caps w:val="0"/>
          <w:color w:val="333333"/>
          <w:spacing w:val="0"/>
          <w:kern w:val="0"/>
          <w:sz w:val="30"/>
          <w:szCs w:val="30"/>
          <w:lang w:val="en-US" w:eastAsia="zh-CN" w:bidi="ar"/>
        </w:rPr>
        <w:t>244.74</w:t>
      </w:r>
      <w:r>
        <w:rPr>
          <w:rFonts w:hint="eastAsia" w:ascii="仿宋_GB2312" w:hAnsi="宋体" w:eastAsia="仿宋_GB2312" w:cs="仿宋_GB2312"/>
          <w:b w:val="0"/>
          <w:i w:val="0"/>
          <w:caps w:val="0"/>
          <w:color w:val="333333"/>
          <w:spacing w:val="0"/>
          <w:kern w:val="0"/>
          <w:sz w:val="24"/>
          <w:szCs w:val="24"/>
          <w:lang w:val="en-US" w:eastAsia="zh-CN" w:bidi="ar"/>
        </w:rPr>
        <w:t>万元对比减</w:t>
      </w:r>
      <w:r>
        <w:rPr>
          <w:rFonts w:hint="eastAsia" w:ascii="仿宋_GB2312" w:hAnsi="宋体" w:eastAsia="仿宋_GB2312" w:cs="仿宋_GB2312"/>
          <w:b w:val="0"/>
          <w:i w:val="0"/>
          <w:caps w:val="0"/>
          <w:color w:val="333333"/>
          <w:spacing w:val="0"/>
          <w:kern w:val="0"/>
          <w:sz w:val="32"/>
          <w:szCs w:val="32"/>
          <w:lang w:val="en-US" w:eastAsia="zh-CN" w:bidi="ar"/>
        </w:rPr>
        <w:t>14.93</w:t>
      </w:r>
      <w:r>
        <w:rPr>
          <w:rFonts w:hint="eastAsia" w:ascii="仿宋_GB2312" w:hAnsi="宋体" w:eastAsia="仿宋_GB2312" w:cs="仿宋_GB2312"/>
          <w:b w:val="0"/>
          <w:i w:val="0"/>
          <w:caps w:val="0"/>
          <w:color w:val="333333"/>
          <w:spacing w:val="0"/>
          <w:kern w:val="0"/>
          <w:sz w:val="24"/>
          <w:szCs w:val="24"/>
          <w:lang w:val="en-US" w:eastAsia="zh-CN" w:bidi="ar"/>
        </w:rPr>
        <w:t>万元，减</w:t>
      </w:r>
      <w:r>
        <w:rPr>
          <w:rFonts w:hint="eastAsia" w:ascii="仿宋_GB2312" w:hAnsi="宋体" w:eastAsia="仿宋_GB2312" w:cs="仿宋_GB2312"/>
          <w:b w:val="0"/>
          <w:i w:val="0"/>
          <w:caps w:val="0"/>
          <w:color w:val="333333"/>
          <w:spacing w:val="0"/>
          <w:kern w:val="0"/>
          <w:sz w:val="30"/>
          <w:szCs w:val="30"/>
          <w:lang w:val="en-US" w:eastAsia="zh-CN" w:bidi="ar"/>
        </w:rPr>
        <w:t>6.1%，</w:t>
      </w:r>
      <w:r>
        <w:rPr>
          <w:rFonts w:hint="eastAsia" w:ascii="仿宋_GB2312" w:hAnsi="宋体" w:eastAsia="仿宋_GB2312" w:cs="仿宋_GB2312"/>
          <w:b w:val="0"/>
          <w:i w:val="0"/>
          <w:caps w:val="0"/>
          <w:color w:val="333333"/>
          <w:spacing w:val="0"/>
          <w:kern w:val="0"/>
          <w:sz w:val="24"/>
          <w:szCs w:val="24"/>
          <w:lang w:val="en-US" w:eastAsia="zh-CN" w:bidi="ar"/>
        </w:rPr>
        <w:t>主要原因是</w:t>
      </w:r>
      <w:r>
        <w:rPr>
          <w:rFonts w:hint="eastAsia" w:ascii="仿宋_GB2312" w:hAnsi="宋体" w:eastAsia="仿宋_GB2312" w:cs="仿宋_GB2312"/>
          <w:b w:val="0"/>
          <w:i w:val="0"/>
          <w:caps w:val="0"/>
          <w:color w:val="333333"/>
          <w:spacing w:val="0"/>
          <w:kern w:val="0"/>
          <w:sz w:val="32"/>
          <w:szCs w:val="32"/>
          <w:lang w:val="en-US" w:eastAsia="zh-CN" w:bidi="ar"/>
        </w:rPr>
        <w:t>2018年减少了</w:t>
      </w:r>
      <w:r>
        <w:rPr>
          <w:rFonts w:hint="eastAsia" w:ascii="仿宋_GB2312" w:hAnsi="宋体" w:eastAsia="仿宋_GB2312" w:cs="仿宋_GB2312"/>
          <w:b w:val="0"/>
          <w:i w:val="0"/>
          <w:caps w:val="0"/>
          <w:color w:val="333333"/>
          <w:spacing w:val="0"/>
          <w:kern w:val="0"/>
          <w:sz w:val="24"/>
          <w:szCs w:val="24"/>
          <w:lang w:val="en-US" w:eastAsia="zh-CN" w:bidi="ar"/>
        </w:rPr>
        <w:t>全国重点寺观教堂维修及宗教活动场所修缮项目资金。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二、支出决算情况说明</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中国共产党盈江县委员会统一战线工作部</w:t>
      </w:r>
      <w:r>
        <w:rPr>
          <w:rFonts w:hint="eastAsia" w:ascii="仿宋_GB2312" w:hAnsi="宋体" w:eastAsia="仿宋_GB2312" w:cs="仿宋_GB2312"/>
          <w:b w:val="0"/>
          <w:i w:val="0"/>
          <w:caps w:val="0"/>
          <w:color w:val="333333"/>
          <w:spacing w:val="0"/>
          <w:kern w:val="0"/>
          <w:sz w:val="30"/>
          <w:szCs w:val="30"/>
          <w:lang w:val="en-US" w:eastAsia="zh-CN" w:bidi="ar"/>
        </w:rPr>
        <w:t>2018年度支出合计</w:t>
      </w:r>
      <w:r>
        <w:rPr>
          <w:rFonts w:hint="eastAsia" w:ascii="仿宋_GB2312" w:hAnsi="宋体" w:eastAsia="仿宋_GB2312" w:cs="仿宋_GB2312"/>
          <w:b w:val="0"/>
          <w:i w:val="0"/>
          <w:caps w:val="0"/>
          <w:color w:val="333333"/>
          <w:spacing w:val="0"/>
          <w:kern w:val="0"/>
          <w:sz w:val="32"/>
          <w:szCs w:val="32"/>
          <w:lang w:val="en-US" w:eastAsia="zh-CN" w:bidi="ar"/>
        </w:rPr>
        <w:t>251.88</w:t>
      </w:r>
      <w:r>
        <w:rPr>
          <w:rFonts w:hint="eastAsia" w:ascii="仿宋_GB2312" w:hAnsi="宋体" w:eastAsia="仿宋_GB2312" w:cs="仿宋_GB2312"/>
          <w:b w:val="0"/>
          <w:i w:val="0"/>
          <w:caps w:val="0"/>
          <w:color w:val="333333"/>
          <w:spacing w:val="0"/>
          <w:kern w:val="0"/>
          <w:sz w:val="24"/>
          <w:szCs w:val="24"/>
          <w:lang w:val="en-US" w:eastAsia="zh-CN" w:bidi="ar"/>
        </w:rPr>
        <w:t>万元。其中：基本支出</w:t>
      </w:r>
      <w:r>
        <w:rPr>
          <w:rFonts w:hint="eastAsia" w:ascii="仿宋_GB2312" w:hAnsi="宋体" w:eastAsia="仿宋_GB2312" w:cs="仿宋_GB2312"/>
          <w:b w:val="0"/>
          <w:i w:val="0"/>
          <w:caps w:val="0"/>
          <w:color w:val="333333"/>
          <w:spacing w:val="0"/>
          <w:kern w:val="0"/>
          <w:sz w:val="32"/>
          <w:szCs w:val="32"/>
          <w:lang w:val="en-US" w:eastAsia="zh-CN" w:bidi="ar"/>
        </w:rPr>
        <w:t>216.25万元</w:t>
      </w:r>
      <w:r>
        <w:rPr>
          <w:rFonts w:hint="eastAsia" w:ascii="仿宋_GB2312" w:hAnsi="宋体" w:eastAsia="仿宋_GB2312" w:cs="仿宋_GB2312"/>
          <w:b w:val="0"/>
          <w:i w:val="0"/>
          <w:caps w:val="0"/>
          <w:color w:val="333333"/>
          <w:spacing w:val="0"/>
          <w:kern w:val="0"/>
          <w:sz w:val="24"/>
          <w:szCs w:val="24"/>
          <w:lang w:val="en-US" w:eastAsia="zh-CN" w:bidi="ar"/>
        </w:rPr>
        <w:t>，占总支出的</w:t>
      </w:r>
      <w:r>
        <w:rPr>
          <w:rFonts w:hint="eastAsia" w:ascii="仿宋_GB2312" w:hAnsi="宋体" w:eastAsia="仿宋_GB2312" w:cs="仿宋_GB2312"/>
          <w:b w:val="0"/>
          <w:i w:val="0"/>
          <w:caps w:val="0"/>
          <w:color w:val="333333"/>
          <w:spacing w:val="0"/>
          <w:kern w:val="0"/>
          <w:sz w:val="30"/>
          <w:szCs w:val="30"/>
          <w:lang w:val="en-US" w:eastAsia="zh-CN" w:bidi="ar"/>
        </w:rPr>
        <w:t>86</w:t>
      </w:r>
      <w:r>
        <w:rPr>
          <w:rFonts w:hint="eastAsia" w:ascii="仿宋_GB2312" w:hAnsi="宋体" w:eastAsia="仿宋_GB2312" w:cs="仿宋_GB2312"/>
          <w:b w:val="0"/>
          <w:i w:val="0"/>
          <w:caps w:val="0"/>
          <w:color w:val="333333"/>
          <w:spacing w:val="0"/>
          <w:kern w:val="0"/>
          <w:sz w:val="24"/>
          <w:szCs w:val="24"/>
          <w:lang w:val="en-US" w:eastAsia="zh-CN" w:bidi="ar"/>
        </w:rPr>
        <w:t>％；项目支出</w:t>
      </w:r>
      <w:r>
        <w:rPr>
          <w:rFonts w:hint="eastAsia" w:ascii="仿宋_GB2312" w:hAnsi="宋体" w:eastAsia="仿宋_GB2312" w:cs="仿宋_GB2312"/>
          <w:b w:val="0"/>
          <w:i w:val="0"/>
          <w:caps w:val="0"/>
          <w:color w:val="333333"/>
          <w:spacing w:val="0"/>
          <w:kern w:val="0"/>
          <w:sz w:val="32"/>
          <w:szCs w:val="32"/>
          <w:lang w:val="en-US" w:eastAsia="zh-CN" w:bidi="ar"/>
        </w:rPr>
        <w:t>35.63</w:t>
      </w:r>
      <w:r>
        <w:rPr>
          <w:rFonts w:hint="eastAsia" w:ascii="仿宋_GB2312" w:hAnsi="宋体" w:eastAsia="仿宋_GB2312" w:cs="仿宋_GB2312"/>
          <w:b w:val="0"/>
          <w:i w:val="0"/>
          <w:caps w:val="0"/>
          <w:color w:val="333333"/>
          <w:spacing w:val="0"/>
          <w:kern w:val="0"/>
          <w:sz w:val="24"/>
          <w:szCs w:val="24"/>
          <w:lang w:val="en-US" w:eastAsia="zh-CN" w:bidi="ar"/>
        </w:rPr>
        <w:t>万元，占总支出的</w:t>
      </w:r>
      <w:r>
        <w:rPr>
          <w:rFonts w:hint="eastAsia" w:ascii="仿宋_GB2312" w:hAnsi="宋体" w:eastAsia="仿宋_GB2312" w:cs="仿宋_GB2312"/>
          <w:b w:val="0"/>
          <w:i w:val="0"/>
          <w:caps w:val="0"/>
          <w:color w:val="333333"/>
          <w:spacing w:val="0"/>
          <w:kern w:val="0"/>
          <w:sz w:val="30"/>
          <w:szCs w:val="30"/>
          <w:lang w:val="en-US" w:eastAsia="zh-CN" w:bidi="ar"/>
        </w:rPr>
        <w:t>14</w:t>
      </w:r>
      <w:r>
        <w:rPr>
          <w:rFonts w:hint="eastAsia" w:ascii="仿宋_GB2312" w:hAnsi="宋体" w:eastAsia="仿宋_GB2312" w:cs="仿宋_GB2312"/>
          <w:b w:val="0"/>
          <w:i w:val="0"/>
          <w:caps w:val="0"/>
          <w:color w:val="333333"/>
          <w:spacing w:val="0"/>
          <w:kern w:val="0"/>
          <w:sz w:val="24"/>
          <w:szCs w:val="24"/>
          <w:lang w:val="en-US" w:eastAsia="zh-CN" w:bidi="ar"/>
        </w:rPr>
        <w:t>％；上缴上级支出、经营支出、对附属单位补助支出共</w:t>
      </w:r>
      <w:r>
        <w:rPr>
          <w:rFonts w:hint="eastAsia" w:ascii="仿宋_GB2312" w:hAnsi="宋体" w:eastAsia="仿宋_GB2312" w:cs="仿宋_GB2312"/>
          <w:b w:val="0"/>
          <w:i w:val="0"/>
          <w:caps w:val="0"/>
          <w:color w:val="333333"/>
          <w:spacing w:val="0"/>
          <w:kern w:val="0"/>
          <w:sz w:val="30"/>
          <w:szCs w:val="30"/>
          <w:lang w:val="en-US" w:eastAsia="zh-CN" w:bidi="ar"/>
        </w:rPr>
        <w:t>0</w:t>
      </w:r>
      <w:r>
        <w:rPr>
          <w:rFonts w:hint="eastAsia" w:ascii="仿宋_GB2312" w:hAnsi="宋体" w:eastAsia="仿宋_GB2312" w:cs="仿宋_GB2312"/>
          <w:b w:val="0"/>
          <w:i w:val="0"/>
          <w:caps w:val="0"/>
          <w:color w:val="333333"/>
          <w:spacing w:val="0"/>
          <w:kern w:val="0"/>
          <w:sz w:val="24"/>
          <w:szCs w:val="24"/>
          <w:lang w:val="en-US" w:eastAsia="zh-CN" w:bidi="ar"/>
        </w:rPr>
        <w:t>万元，占总支出的</w:t>
      </w:r>
      <w:r>
        <w:rPr>
          <w:rFonts w:hint="eastAsia" w:ascii="仿宋_GB2312" w:hAnsi="宋体" w:eastAsia="仿宋_GB2312" w:cs="仿宋_GB2312"/>
          <w:b w:val="0"/>
          <w:i w:val="0"/>
          <w:caps w:val="0"/>
          <w:color w:val="333333"/>
          <w:spacing w:val="0"/>
          <w:kern w:val="0"/>
          <w:sz w:val="30"/>
          <w:szCs w:val="30"/>
          <w:lang w:val="en-US" w:eastAsia="zh-CN" w:bidi="ar"/>
        </w:rPr>
        <w:t>0</w:t>
      </w:r>
      <w:r>
        <w:rPr>
          <w:rFonts w:hint="eastAsia" w:ascii="仿宋_GB2312" w:hAnsi="宋体" w:eastAsia="仿宋_GB2312" w:cs="仿宋_GB2312"/>
          <w:b w:val="0"/>
          <w:i w:val="0"/>
          <w:caps w:val="0"/>
          <w:color w:val="333333"/>
          <w:spacing w:val="0"/>
          <w:kern w:val="0"/>
          <w:sz w:val="24"/>
          <w:szCs w:val="24"/>
          <w:lang w:val="en-US" w:eastAsia="zh-CN" w:bidi="ar"/>
        </w:rPr>
        <w:t>％。与上年支出合计</w:t>
      </w:r>
      <w:r>
        <w:rPr>
          <w:rFonts w:hint="eastAsia" w:ascii="仿宋_GB2312" w:hAnsi="宋体" w:eastAsia="仿宋_GB2312" w:cs="仿宋_GB2312"/>
          <w:b w:val="0"/>
          <w:i w:val="0"/>
          <w:caps w:val="0"/>
          <w:color w:val="333333"/>
          <w:spacing w:val="0"/>
          <w:kern w:val="0"/>
          <w:sz w:val="32"/>
          <w:szCs w:val="32"/>
          <w:lang w:val="en-US" w:eastAsia="zh-CN" w:bidi="ar"/>
        </w:rPr>
        <w:t>223.91万元</w:t>
      </w:r>
      <w:r>
        <w:rPr>
          <w:rFonts w:hint="eastAsia" w:ascii="仿宋_GB2312" w:hAnsi="宋体" w:eastAsia="仿宋_GB2312" w:cs="仿宋_GB2312"/>
          <w:b w:val="0"/>
          <w:i w:val="0"/>
          <w:caps w:val="0"/>
          <w:color w:val="333333"/>
          <w:spacing w:val="0"/>
          <w:kern w:val="0"/>
          <w:sz w:val="24"/>
          <w:szCs w:val="24"/>
          <w:lang w:val="en-US" w:eastAsia="zh-CN" w:bidi="ar"/>
        </w:rPr>
        <w:t>对比增加</w:t>
      </w:r>
      <w:r>
        <w:rPr>
          <w:rFonts w:hint="eastAsia" w:ascii="仿宋_GB2312" w:hAnsi="宋体" w:eastAsia="仿宋_GB2312" w:cs="仿宋_GB2312"/>
          <w:b w:val="0"/>
          <w:i w:val="0"/>
          <w:caps w:val="0"/>
          <w:color w:val="333333"/>
          <w:spacing w:val="0"/>
          <w:kern w:val="0"/>
          <w:sz w:val="32"/>
          <w:szCs w:val="32"/>
          <w:lang w:val="en-US" w:eastAsia="zh-CN" w:bidi="ar"/>
        </w:rPr>
        <w:t>27.97万元</w:t>
      </w:r>
      <w:r>
        <w:rPr>
          <w:rFonts w:hint="eastAsia" w:ascii="仿宋_GB2312" w:hAnsi="宋体" w:eastAsia="仿宋_GB2312" w:cs="仿宋_GB2312"/>
          <w:b w:val="0"/>
          <w:i w:val="0"/>
          <w:caps w:val="0"/>
          <w:color w:val="333333"/>
          <w:spacing w:val="0"/>
          <w:kern w:val="0"/>
          <w:sz w:val="30"/>
          <w:szCs w:val="30"/>
          <w:lang w:val="en-US" w:eastAsia="zh-CN" w:bidi="ar"/>
        </w:rPr>
        <w:t>,</w:t>
      </w:r>
      <w:r>
        <w:rPr>
          <w:rFonts w:hint="eastAsia" w:ascii="仿宋_GB2312" w:hAnsi="宋体" w:eastAsia="仿宋_GB2312" w:cs="仿宋_GB2312"/>
          <w:b w:val="0"/>
          <w:i w:val="0"/>
          <w:caps w:val="0"/>
          <w:color w:val="333333"/>
          <w:spacing w:val="0"/>
          <w:kern w:val="0"/>
          <w:sz w:val="24"/>
          <w:szCs w:val="24"/>
          <w:lang w:val="en-US" w:eastAsia="zh-CN" w:bidi="ar"/>
        </w:rPr>
        <w:t>增</w:t>
      </w:r>
      <w:r>
        <w:rPr>
          <w:rFonts w:hint="eastAsia" w:ascii="仿宋_GB2312" w:hAnsi="宋体" w:eastAsia="仿宋_GB2312" w:cs="仿宋_GB2312"/>
          <w:b w:val="0"/>
          <w:i w:val="0"/>
          <w:caps w:val="0"/>
          <w:color w:val="333333"/>
          <w:spacing w:val="0"/>
          <w:kern w:val="0"/>
          <w:sz w:val="30"/>
          <w:szCs w:val="30"/>
          <w:lang w:val="en-US" w:eastAsia="zh-CN" w:bidi="ar"/>
        </w:rPr>
        <w:t>12.49%，</w:t>
      </w:r>
      <w:r>
        <w:rPr>
          <w:rFonts w:hint="eastAsia" w:ascii="仿宋_GB2312" w:hAnsi="宋体" w:eastAsia="仿宋_GB2312" w:cs="仿宋_GB2312"/>
          <w:b w:val="0"/>
          <w:i w:val="0"/>
          <w:caps w:val="0"/>
          <w:color w:val="333333"/>
          <w:spacing w:val="0"/>
          <w:kern w:val="0"/>
          <w:sz w:val="24"/>
          <w:szCs w:val="24"/>
          <w:lang w:val="en-US" w:eastAsia="zh-CN" w:bidi="ar"/>
        </w:rPr>
        <w:t>增加的主要原因是本年支付</w:t>
      </w:r>
      <w:r>
        <w:rPr>
          <w:rFonts w:hint="eastAsia" w:ascii="仿宋_GB2312" w:hAnsi="宋体" w:eastAsia="仿宋_GB2312" w:cs="仿宋_GB2312"/>
          <w:b w:val="0"/>
          <w:i w:val="0"/>
          <w:caps w:val="0"/>
          <w:color w:val="333333"/>
          <w:spacing w:val="0"/>
          <w:kern w:val="0"/>
          <w:sz w:val="30"/>
          <w:szCs w:val="30"/>
          <w:lang w:val="en-US" w:eastAsia="zh-CN" w:bidi="ar"/>
        </w:rPr>
        <w:t>2017年</w:t>
      </w:r>
      <w:r>
        <w:rPr>
          <w:rFonts w:hint="eastAsia" w:ascii="仿宋_GB2312" w:hAnsi="宋体" w:eastAsia="仿宋_GB2312" w:cs="仿宋_GB2312"/>
          <w:b w:val="0"/>
          <w:i w:val="0"/>
          <w:caps w:val="0"/>
          <w:color w:val="333333"/>
          <w:spacing w:val="0"/>
          <w:kern w:val="0"/>
          <w:sz w:val="24"/>
          <w:szCs w:val="24"/>
          <w:lang w:val="en-US" w:eastAsia="zh-CN" w:bidi="ar"/>
        </w:rPr>
        <w:t>全国重点寺观教堂维修及宗教活动场所修缮项目资金，</w:t>
      </w:r>
      <w:r>
        <w:rPr>
          <w:rFonts w:hint="eastAsia" w:ascii="仿宋_GB2312" w:hAnsi="宋体" w:eastAsia="仿宋_GB2312" w:cs="仿宋_GB2312"/>
          <w:b w:val="0"/>
          <w:i w:val="0"/>
          <w:caps w:val="0"/>
          <w:color w:val="333333"/>
          <w:spacing w:val="0"/>
          <w:kern w:val="0"/>
          <w:sz w:val="32"/>
          <w:szCs w:val="32"/>
          <w:lang w:val="en-US" w:eastAsia="zh-CN" w:bidi="ar"/>
        </w:rPr>
        <w:t>2018年2月组织部从县纪委调剂调入1人</w:t>
      </w:r>
      <w:r>
        <w:rPr>
          <w:rFonts w:hint="eastAsia" w:ascii="仿宋_GB2312" w:hAnsi="宋体" w:eastAsia="仿宋_GB2312" w:cs="仿宋_GB2312"/>
          <w:b w:val="0"/>
          <w:i w:val="0"/>
          <w:caps w:val="0"/>
          <w:color w:val="333333"/>
          <w:spacing w:val="0"/>
          <w:kern w:val="0"/>
          <w:sz w:val="24"/>
          <w:szCs w:val="24"/>
          <w:lang w:val="en-US" w:eastAsia="zh-CN" w:bidi="ar"/>
        </w:rPr>
        <w:t>。</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（一）基本支出情况</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2018年度用于保障中国共产党盈江县委员会统一战线工作部机构正常运转的日常支出216.25万元。与上年</w:t>
      </w:r>
      <w:r>
        <w:rPr>
          <w:rFonts w:hint="eastAsia" w:ascii="仿宋_GB2312" w:hAnsi="宋体" w:eastAsia="仿宋_GB2312" w:cs="仿宋_GB2312"/>
          <w:b w:val="0"/>
          <w:i w:val="0"/>
          <w:caps w:val="0"/>
          <w:color w:val="333333"/>
          <w:spacing w:val="0"/>
          <w:kern w:val="0"/>
          <w:sz w:val="24"/>
          <w:szCs w:val="24"/>
          <w:lang w:val="en-US" w:eastAsia="zh-CN" w:bidi="ar"/>
        </w:rPr>
        <w:t>支出</w:t>
      </w:r>
      <w:r>
        <w:rPr>
          <w:rFonts w:hint="eastAsia" w:ascii="仿宋_GB2312" w:hAnsi="宋体" w:eastAsia="仿宋_GB2312" w:cs="仿宋_GB2312"/>
          <w:b w:val="0"/>
          <w:i w:val="0"/>
          <w:caps w:val="0"/>
          <w:color w:val="000000"/>
          <w:spacing w:val="0"/>
          <w:kern w:val="0"/>
          <w:sz w:val="32"/>
          <w:szCs w:val="32"/>
          <w:lang w:val="en-US" w:eastAsia="zh-CN" w:bidi="ar"/>
        </w:rPr>
        <w:t>183.91</w:t>
      </w:r>
      <w:r>
        <w:rPr>
          <w:rFonts w:hint="eastAsia" w:ascii="仿宋_GB2312" w:hAnsi="宋体" w:eastAsia="仿宋_GB2312" w:cs="仿宋_GB2312"/>
          <w:b w:val="0"/>
          <w:i w:val="0"/>
          <w:caps w:val="0"/>
          <w:color w:val="333333"/>
          <w:spacing w:val="0"/>
          <w:kern w:val="0"/>
          <w:sz w:val="24"/>
          <w:szCs w:val="24"/>
          <w:lang w:val="en-US" w:eastAsia="zh-CN" w:bidi="ar"/>
        </w:rPr>
        <w:t>万元对比增加</w:t>
      </w:r>
      <w:r>
        <w:rPr>
          <w:rFonts w:hint="eastAsia" w:ascii="仿宋_GB2312" w:hAnsi="宋体" w:eastAsia="仿宋_GB2312" w:cs="仿宋_GB2312"/>
          <w:b w:val="0"/>
          <w:i w:val="0"/>
          <w:caps w:val="0"/>
          <w:color w:val="333333"/>
          <w:spacing w:val="0"/>
          <w:kern w:val="0"/>
          <w:sz w:val="30"/>
          <w:szCs w:val="30"/>
          <w:lang w:val="en-US" w:eastAsia="zh-CN" w:bidi="ar"/>
        </w:rPr>
        <w:t>32.34万元,</w:t>
      </w:r>
      <w:r>
        <w:rPr>
          <w:rFonts w:hint="eastAsia" w:ascii="仿宋_GB2312" w:hAnsi="宋体" w:eastAsia="仿宋_GB2312" w:cs="仿宋_GB2312"/>
          <w:b w:val="0"/>
          <w:i w:val="0"/>
          <w:caps w:val="0"/>
          <w:color w:val="333333"/>
          <w:spacing w:val="0"/>
          <w:kern w:val="0"/>
          <w:sz w:val="32"/>
          <w:szCs w:val="32"/>
          <w:lang w:val="en-US" w:eastAsia="zh-CN" w:bidi="ar"/>
        </w:rPr>
        <w:t> </w:t>
      </w:r>
      <w:r>
        <w:rPr>
          <w:rFonts w:hint="eastAsia" w:ascii="仿宋_GB2312" w:hAnsi="宋体" w:eastAsia="仿宋_GB2312" w:cs="仿宋_GB2312"/>
          <w:b w:val="0"/>
          <w:i w:val="0"/>
          <w:caps w:val="0"/>
          <w:color w:val="333333"/>
          <w:spacing w:val="0"/>
          <w:kern w:val="0"/>
          <w:sz w:val="24"/>
          <w:szCs w:val="24"/>
          <w:lang w:val="en-US" w:eastAsia="zh-CN" w:bidi="ar"/>
        </w:rPr>
        <w:t>增</w:t>
      </w:r>
      <w:r>
        <w:rPr>
          <w:rFonts w:hint="eastAsia" w:ascii="仿宋_GB2312" w:hAnsi="宋体" w:eastAsia="仿宋_GB2312" w:cs="仿宋_GB2312"/>
          <w:b w:val="0"/>
          <w:i w:val="0"/>
          <w:caps w:val="0"/>
          <w:color w:val="333333"/>
          <w:spacing w:val="0"/>
          <w:kern w:val="0"/>
          <w:sz w:val="30"/>
          <w:szCs w:val="30"/>
          <w:lang w:val="en-US" w:eastAsia="zh-CN" w:bidi="ar"/>
        </w:rPr>
        <w:t>17.58%，</w:t>
      </w:r>
      <w:r>
        <w:rPr>
          <w:rFonts w:hint="eastAsia" w:ascii="仿宋_GB2312" w:hAnsi="宋体" w:eastAsia="仿宋_GB2312" w:cs="仿宋_GB2312"/>
          <w:b w:val="0"/>
          <w:i w:val="0"/>
          <w:caps w:val="0"/>
          <w:color w:val="333333"/>
          <w:spacing w:val="0"/>
          <w:kern w:val="0"/>
          <w:sz w:val="24"/>
          <w:szCs w:val="24"/>
          <w:lang w:val="en-US" w:eastAsia="zh-CN" w:bidi="ar"/>
        </w:rPr>
        <w:t>主要原因是人员增加</w:t>
      </w:r>
      <w:r>
        <w:rPr>
          <w:rFonts w:hint="eastAsia" w:ascii="仿宋_GB2312" w:hAnsi="宋体" w:eastAsia="仿宋_GB2312" w:cs="仿宋_GB2312"/>
          <w:b w:val="0"/>
          <w:i w:val="0"/>
          <w:caps w:val="0"/>
          <w:color w:val="333333"/>
          <w:spacing w:val="0"/>
          <w:kern w:val="0"/>
          <w:sz w:val="30"/>
          <w:szCs w:val="30"/>
          <w:lang w:val="en-US" w:eastAsia="zh-CN" w:bidi="ar"/>
        </w:rPr>
        <w:t>1人，规范津补贴调资增加。包括基本工资、津贴补贴等人员经费支出186.15</w:t>
      </w:r>
      <w:r>
        <w:rPr>
          <w:rFonts w:hint="eastAsia" w:ascii="仿宋_GB2312" w:hAnsi="宋体" w:eastAsia="仿宋_GB2312" w:cs="仿宋_GB2312"/>
          <w:b w:val="0"/>
          <w:i w:val="0"/>
          <w:caps w:val="0"/>
          <w:color w:val="333333"/>
          <w:spacing w:val="0"/>
          <w:kern w:val="0"/>
          <w:sz w:val="24"/>
          <w:szCs w:val="24"/>
          <w:lang w:val="en-US" w:eastAsia="zh-CN" w:bidi="ar"/>
        </w:rPr>
        <w:t>万元，占基本支出的</w:t>
      </w:r>
      <w:r>
        <w:rPr>
          <w:rFonts w:hint="eastAsia" w:ascii="仿宋_GB2312" w:hAnsi="宋体" w:eastAsia="仿宋_GB2312" w:cs="仿宋_GB2312"/>
          <w:b w:val="0"/>
          <w:i w:val="0"/>
          <w:caps w:val="0"/>
          <w:color w:val="333333"/>
          <w:spacing w:val="0"/>
          <w:kern w:val="0"/>
          <w:sz w:val="30"/>
          <w:szCs w:val="30"/>
          <w:lang w:val="en-US" w:eastAsia="zh-CN" w:bidi="ar"/>
        </w:rPr>
        <w:t>86.08</w:t>
      </w:r>
      <w:r>
        <w:rPr>
          <w:rFonts w:hint="eastAsia" w:ascii="仿宋_GB2312" w:hAnsi="宋体" w:eastAsia="仿宋_GB2312" w:cs="仿宋_GB2312"/>
          <w:b w:val="0"/>
          <w:i w:val="0"/>
          <w:caps w:val="0"/>
          <w:color w:val="333333"/>
          <w:spacing w:val="0"/>
          <w:kern w:val="0"/>
          <w:sz w:val="24"/>
          <w:szCs w:val="24"/>
          <w:lang w:val="en-US" w:eastAsia="zh-CN" w:bidi="ar"/>
        </w:rPr>
        <w:t>％；办公费、印刷费、水电费、办公设备购置等日常公用经费支出</w:t>
      </w:r>
      <w:r>
        <w:rPr>
          <w:rFonts w:hint="eastAsia" w:ascii="仿宋_GB2312" w:hAnsi="宋体" w:eastAsia="仿宋_GB2312" w:cs="仿宋_GB2312"/>
          <w:b w:val="0"/>
          <w:i w:val="0"/>
          <w:caps w:val="0"/>
          <w:color w:val="333333"/>
          <w:spacing w:val="0"/>
          <w:kern w:val="0"/>
          <w:sz w:val="30"/>
          <w:szCs w:val="30"/>
          <w:lang w:val="en-US" w:eastAsia="zh-CN" w:bidi="ar"/>
        </w:rPr>
        <w:t>30.1</w:t>
      </w:r>
      <w:r>
        <w:rPr>
          <w:rFonts w:hint="eastAsia" w:ascii="仿宋_GB2312" w:hAnsi="宋体" w:eastAsia="仿宋_GB2312" w:cs="仿宋_GB2312"/>
          <w:b w:val="0"/>
          <w:i w:val="0"/>
          <w:caps w:val="0"/>
          <w:color w:val="333333"/>
          <w:spacing w:val="0"/>
          <w:kern w:val="0"/>
          <w:sz w:val="24"/>
          <w:szCs w:val="24"/>
          <w:lang w:val="en-US" w:eastAsia="zh-CN" w:bidi="ar"/>
        </w:rPr>
        <w:t>万元，占基本支出的</w:t>
      </w:r>
      <w:r>
        <w:rPr>
          <w:rFonts w:hint="eastAsia" w:ascii="仿宋_GB2312" w:hAnsi="宋体" w:eastAsia="仿宋_GB2312" w:cs="仿宋_GB2312"/>
          <w:b w:val="0"/>
          <w:i w:val="0"/>
          <w:caps w:val="0"/>
          <w:color w:val="333333"/>
          <w:spacing w:val="0"/>
          <w:kern w:val="0"/>
          <w:sz w:val="30"/>
          <w:szCs w:val="30"/>
          <w:lang w:val="en-US" w:eastAsia="zh-CN" w:bidi="ar"/>
        </w:rPr>
        <w:t>13.92</w:t>
      </w:r>
      <w:r>
        <w:rPr>
          <w:rFonts w:hint="eastAsia" w:ascii="仿宋_GB2312" w:hAnsi="宋体" w:eastAsia="仿宋_GB2312" w:cs="仿宋_GB2312"/>
          <w:b w:val="0"/>
          <w:i w:val="0"/>
          <w:caps w:val="0"/>
          <w:color w:val="333333"/>
          <w:spacing w:val="0"/>
          <w:kern w:val="0"/>
          <w:sz w:val="24"/>
          <w:szCs w:val="24"/>
          <w:lang w:val="en-US" w:eastAsia="zh-CN" w:bidi="ar"/>
        </w:rPr>
        <w:t>％，人均公用经费</w:t>
      </w:r>
      <w:r>
        <w:rPr>
          <w:rFonts w:hint="eastAsia" w:ascii="仿宋_GB2312" w:hAnsi="宋体" w:eastAsia="仿宋_GB2312" w:cs="仿宋_GB2312"/>
          <w:b w:val="0"/>
          <w:i w:val="0"/>
          <w:caps w:val="0"/>
          <w:color w:val="333333"/>
          <w:spacing w:val="0"/>
          <w:kern w:val="0"/>
          <w:sz w:val="30"/>
          <w:szCs w:val="30"/>
          <w:lang w:val="en-US" w:eastAsia="zh-CN" w:bidi="ar"/>
        </w:rPr>
        <w:t>2.74万元（含公务交通补贴</w:t>
      </w:r>
      <w:r>
        <w:rPr>
          <w:rFonts w:hint="eastAsia" w:ascii="仿宋_GB2312" w:hAnsi="宋体" w:eastAsia="仿宋_GB2312" w:cs="仿宋_GB2312"/>
          <w:b w:val="0"/>
          <w:i w:val="0"/>
          <w:caps w:val="0"/>
          <w:color w:val="333333"/>
          <w:spacing w:val="0"/>
          <w:kern w:val="0"/>
          <w:sz w:val="24"/>
          <w:szCs w:val="24"/>
          <w:lang w:val="en-US" w:eastAsia="zh-CN" w:bidi="ar"/>
        </w:rPr>
        <w:t>）。</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（二）项目支出情况</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2018年度用于保障中国共产党盈江县委员会统一战线工作部机构为完成特定的行政工作任务，用于专项业务工作的经费支出35.63万元。与上年</w:t>
      </w:r>
      <w:r>
        <w:rPr>
          <w:rFonts w:hint="eastAsia" w:ascii="仿宋_GB2312" w:hAnsi="宋体" w:eastAsia="仿宋_GB2312" w:cs="仿宋_GB2312"/>
          <w:b w:val="0"/>
          <w:i w:val="0"/>
          <w:caps w:val="0"/>
          <w:color w:val="333333"/>
          <w:spacing w:val="0"/>
          <w:kern w:val="0"/>
          <w:sz w:val="24"/>
          <w:szCs w:val="24"/>
          <w:lang w:val="en-US" w:eastAsia="zh-CN" w:bidi="ar"/>
        </w:rPr>
        <w:t>支出</w:t>
      </w:r>
      <w:r>
        <w:rPr>
          <w:rFonts w:hint="eastAsia" w:ascii="仿宋_GB2312" w:hAnsi="宋体" w:eastAsia="仿宋_GB2312" w:cs="仿宋_GB2312"/>
          <w:b w:val="0"/>
          <w:i w:val="0"/>
          <w:caps w:val="0"/>
          <w:color w:val="333333"/>
          <w:spacing w:val="0"/>
          <w:kern w:val="0"/>
          <w:sz w:val="30"/>
          <w:szCs w:val="30"/>
          <w:lang w:val="en-US" w:eastAsia="zh-CN" w:bidi="ar"/>
        </w:rPr>
        <w:t>40万元对比减少4.37万元,</w:t>
      </w:r>
      <w:r>
        <w:rPr>
          <w:rFonts w:hint="eastAsia" w:ascii="仿宋_GB2312" w:hAnsi="宋体" w:eastAsia="仿宋_GB2312" w:cs="仿宋_GB2312"/>
          <w:b w:val="0"/>
          <w:i w:val="0"/>
          <w:caps w:val="0"/>
          <w:color w:val="333333"/>
          <w:spacing w:val="0"/>
          <w:kern w:val="0"/>
          <w:sz w:val="24"/>
          <w:szCs w:val="24"/>
          <w:lang w:val="en-US" w:eastAsia="zh-CN" w:bidi="ar"/>
        </w:rPr>
        <w:t>减</w:t>
      </w:r>
      <w:r>
        <w:rPr>
          <w:rFonts w:hint="eastAsia" w:ascii="仿宋_GB2312" w:hAnsi="宋体" w:eastAsia="仿宋_GB2312" w:cs="仿宋_GB2312"/>
          <w:b w:val="0"/>
          <w:i w:val="0"/>
          <w:caps w:val="0"/>
          <w:color w:val="333333"/>
          <w:spacing w:val="0"/>
          <w:kern w:val="0"/>
          <w:sz w:val="30"/>
          <w:szCs w:val="30"/>
          <w:lang w:val="en-US" w:eastAsia="zh-CN" w:bidi="ar"/>
        </w:rPr>
        <w:t>10.93%，</w:t>
      </w:r>
      <w:r>
        <w:rPr>
          <w:rFonts w:hint="eastAsia" w:ascii="仿宋_GB2312" w:hAnsi="宋体" w:eastAsia="仿宋_GB2312" w:cs="仿宋_GB2312"/>
          <w:b w:val="0"/>
          <w:i w:val="0"/>
          <w:caps w:val="0"/>
          <w:color w:val="333333"/>
          <w:spacing w:val="0"/>
          <w:kern w:val="0"/>
          <w:sz w:val="24"/>
          <w:szCs w:val="24"/>
          <w:lang w:val="en-US" w:eastAsia="zh-CN" w:bidi="ar"/>
        </w:rPr>
        <w:t>主要原因分析项目资金安排减少。具体项目开支及开展工作情况宗教活动场所修缮及工作经费支出</w:t>
      </w:r>
      <w:r>
        <w:rPr>
          <w:rFonts w:hint="eastAsia" w:ascii="仿宋_GB2312" w:hAnsi="宋体" w:eastAsia="仿宋_GB2312" w:cs="仿宋_GB2312"/>
          <w:b w:val="0"/>
          <w:i w:val="0"/>
          <w:caps w:val="0"/>
          <w:color w:val="333333"/>
          <w:spacing w:val="0"/>
          <w:kern w:val="0"/>
          <w:sz w:val="30"/>
          <w:szCs w:val="30"/>
          <w:lang w:val="en-US" w:eastAsia="zh-CN" w:bidi="ar"/>
        </w:rPr>
        <w:t>22万元，刀安仁资料选编宣传费增加了8万元，禁毒防艾群防群治工作经费支出5.63万元。</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三、一般公共预算财政拨款支出决算情况说明</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（一）一般公共预算财政拨款支出决算总体情况</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中国共产党盈江县委员会统一战线工作部</w:t>
      </w:r>
      <w:r>
        <w:rPr>
          <w:rFonts w:hint="eastAsia" w:ascii="仿宋_GB2312" w:hAnsi="宋体" w:eastAsia="仿宋_GB2312" w:cs="仿宋_GB2312"/>
          <w:b w:val="0"/>
          <w:i w:val="0"/>
          <w:caps w:val="0"/>
          <w:color w:val="333333"/>
          <w:spacing w:val="0"/>
          <w:kern w:val="0"/>
          <w:sz w:val="30"/>
          <w:szCs w:val="30"/>
          <w:lang w:val="en-US" w:eastAsia="zh-CN" w:bidi="ar"/>
        </w:rPr>
        <w:t>2018年度一般公共预算财政拨款支出</w:t>
      </w:r>
      <w:r>
        <w:rPr>
          <w:rFonts w:hint="eastAsia" w:ascii="仿宋_GB2312" w:hAnsi="宋体" w:eastAsia="仿宋_GB2312" w:cs="仿宋_GB2312"/>
          <w:b w:val="0"/>
          <w:i w:val="0"/>
          <w:caps w:val="0"/>
          <w:color w:val="333333"/>
          <w:spacing w:val="0"/>
          <w:kern w:val="0"/>
          <w:sz w:val="32"/>
          <w:szCs w:val="32"/>
          <w:lang w:val="en-US" w:eastAsia="zh-CN" w:bidi="ar"/>
        </w:rPr>
        <w:t>251.88</w:t>
      </w:r>
      <w:r>
        <w:rPr>
          <w:rFonts w:hint="eastAsia" w:ascii="仿宋_GB2312" w:hAnsi="宋体" w:eastAsia="仿宋_GB2312" w:cs="仿宋_GB2312"/>
          <w:b w:val="0"/>
          <w:i w:val="0"/>
          <w:caps w:val="0"/>
          <w:color w:val="333333"/>
          <w:spacing w:val="0"/>
          <w:kern w:val="0"/>
          <w:sz w:val="24"/>
          <w:szCs w:val="24"/>
          <w:lang w:val="en-US" w:eastAsia="zh-CN" w:bidi="ar"/>
        </w:rPr>
        <w:t>万元</w:t>
      </w:r>
      <w:r>
        <w:rPr>
          <w:rFonts w:hint="eastAsia" w:ascii="仿宋_GB2312" w:hAnsi="宋体" w:eastAsia="仿宋_GB2312" w:cs="仿宋_GB2312"/>
          <w:b w:val="0"/>
          <w:i w:val="0"/>
          <w:caps w:val="0"/>
          <w:color w:val="333333"/>
          <w:spacing w:val="0"/>
          <w:kern w:val="0"/>
          <w:sz w:val="30"/>
          <w:szCs w:val="30"/>
          <w:lang w:val="en-US" w:eastAsia="zh-CN" w:bidi="ar"/>
        </w:rPr>
        <w:t>,占本年支出合计的100%。与上年</w:t>
      </w:r>
      <w:r>
        <w:rPr>
          <w:rFonts w:hint="eastAsia" w:ascii="仿宋_GB2312" w:hAnsi="宋体" w:eastAsia="仿宋_GB2312" w:cs="仿宋_GB2312"/>
          <w:b w:val="0"/>
          <w:i w:val="0"/>
          <w:caps w:val="0"/>
          <w:color w:val="333333"/>
          <w:spacing w:val="0"/>
          <w:kern w:val="0"/>
          <w:sz w:val="24"/>
          <w:szCs w:val="24"/>
          <w:lang w:val="en-US" w:eastAsia="zh-CN" w:bidi="ar"/>
        </w:rPr>
        <w:t>支出</w:t>
      </w:r>
      <w:r>
        <w:rPr>
          <w:rFonts w:hint="eastAsia" w:ascii="仿宋_GB2312" w:hAnsi="宋体" w:eastAsia="仿宋_GB2312" w:cs="仿宋_GB2312"/>
          <w:b w:val="0"/>
          <w:i w:val="0"/>
          <w:caps w:val="0"/>
          <w:color w:val="333333"/>
          <w:spacing w:val="0"/>
          <w:kern w:val="0"/>
          <w:sz w:val="30"/>
          <w:szCs w:val="30"/>
          <w:lang w:val="en-US" w:eastAsia="zh-CN" w:bidi="ar"/>
        </w:rPr>
        <w:t>223.91万元对比增加27.97万元,</w:t>
      </w:r>
      <w:r>
        <w:rPr>
          <w:rFonts w:hint="eastAsia" w:ascii="仿宋_GB2312" w:hAnsi="宋体" w:eastAsia="仿宋_GB2312" w:cs="仿宋_GB2312"/>
          <w:b w:val="0"/>
          <w:i w:val="0"/>
          <w:caps w:val="0"/>
          <w:color w:val="333333"/>
          <w:spacing w:val="0"/>
          <w:kern w:val="0"/>
          <w:sz w:val="24"/>
          <w:szCs w:val="24"/>
          <w:lang w:val="en-US" w:eastAsia="zh-CN" w:bidi="ar"/>
        </w:rPr>
        <w:t>增</w:t>
      </w:r>
      <w:r>
        <w:rPr>
          <w:rFonts w:hint="eastAsia" w:ascii="仿宋_GB2312" w:hAnsi="宋体" w:eastAsia="仿宋_GB2312" w:cs="仿宋_GB2312"/>
          <w:b w:val="0"/>
          <w:i w:val="0"/>
          <w:caps w:val="0"/>
          <w:color w:val="333333"/>
          <w:spacing w:val="0"/>
          <w:kern w:val="0"/>
          <w:sz w:val="30"/>
          <w:szCs w:val="30"/>
          <w:lang w:val="en-US" w:eastAsia="zh-CN" w:bidi="ar"/>
        </w:rPr>
        <w:t>12.49%，</w:t>
      </w:r>
      <w:r>
        <w:rPr>
          <w:rFonts w:hint="eastAsia" w:ascii="仿宋_GB2312" w:hAnsi="宋体" w:eastAsia="仿宋_GB2312" w:cs="仿宋_GB2312"/>
          <w:b w:val="0"/>
          <w:i w:val="0"/>
          <w:caps w:val="0"/>
          <w:color w:val="333333"/>
          <w:spacing w:val="0"/>
          <w:kern w:val="0"/>
          <w:sz w:val="24"/>
          <w:szCs w:val="24"/>
          <w:lang w:val="en-US" w:eastAsia="zh-CN" w:bidi="ar"/>
        </w:rPr>
        <w:t>主要原因为增加的主要原因是本年支付</w:t>
      </w:r>
      <w:r>
        <w:rPr>
          <w:rFonts w:hint="eastAsia" w:ascii="仿宋_GB2312" w:hAnsi="宋体" w:eastAsia="仿宋_GB2312" w:cs="仿宋_GB2312"/>
          <w:b w:val="0"/>
          <w:i w:val="0"/>
          <w:caps w:val="0"/>
          <w:color w:val="333333"/>
          <w:spacing w:val="0"/>
          <w:kern w:val="0"/>
          <w:sz w:val="30"/>
          <w:szCs w:val="30"/>
          <w:lang w:val="en-US" w:eastAsia="zh-CN" w:bidi="ar"/>
        </w:rPr>
        <w:t>2017年</w:t>
      </w:r>
      <w:r>
        <w:rPr>
          <w:rFonts w:hint="eastAsia" w:ascii="仿宋_GB2312" w:hAnsi="宋体" w:eastAsia="仿宋_GB2312" w:cs="仿宋_GB2312"/>
          <w:b w:val="0"/>
          <w:i w:val="0"/>
          <w:caps w:val="0"/>
          <w:color w:val="333333"/>
          <w:spacing w:val="0"/>
          <w:kern w:val="0"/>
          <w:sz w:val="24"/>
          <w:szCs w:val="24"/>
          <w:lang w:val="en-US" w:eastAsia="zh-CN" w:bidi="ar"/>
        </w:rPr>
        <w:t>全国重点寺观教堂维修及宗教活动场所修缮项目资金，</w:t>
      </w:r>
      <w:r>
        <w:rPr>
          <w:rFonts w:hint="eastAsia" w:ascii="仿宋_GB2312" w:hAnsi="宋体" w:eastAsia="仿宋_GB2312" w:cs="仿宋_GB2312"/>
          <w:b w:val="0"/>
          <w:i w:val="0"/>
          <w:caps w:val="0"/>
          <w:color w:val="333333"/>
          <w:spacing w:val="0"/>
          <w:kern w:val="0"/>
          <w:sz w:val="32"/>
          <w:szCs w:val="32"/>
          <w:lang w:val="en-US" w:eastAsia="zh-CN" w:bidi="ar"/>
        </w:rPr>
        <w:t>2018年2月组织部从县纪委调剂调入1人</w:t>
      </w:r>
      <w:r>
        <w:rPr>
          <w:rFonts w:hint="eastAsia" w:ascii="仿宋_GB2312" w:hAnsi="宋体" w:eastAsia="仿宋_GB2312" w:cs="仿宋_GB2312"/>
          <w:b w:val="0"/>
          <w:i w:val="0"/>
          <w:caps w:val="0"/>
          <w:color w:val="333333"/>
          <w:spacing w:val="0"/>
          <w:kern w:val="0"/>
          <w:sz w:val="24"/>
          <w:szCs w:val="24"/>
          <w:lang w:val="en-US" w:eastAsia="zh-CN" w:bidi="ar"/>
        </w:rPr>
        <w:t>。</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24"/>
          <w:szCs w:val="24"/>
          <w:lang w:val="en-US" w:eastAsia="zh-CN" w:bidi="ar"/>
        </w:rPr>
        <w:t>（二）一般公共预算财政拨款支出决算具体情况</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1.一般公共服务（201类）支出219.11万元，</w:t>
      </w:r>
      <w:r>
        <w:rPr>
          <w:rFonts w:hint="eastAsia" w:ascii="仿宋_GB2312" w:hAnsi="宋体" w:eastAsia="仿宋_GB2312" w:cs="仿宋_GB2312"/>
          <w:b w:val="0"/>
          <w:i w:val="0"/>
          <w:caps w:val="0"/>
          <w:color w:val="333333"/>
          <w:spacing w:val="0"/>
          <w:kern w:val="0"/>
          <w:sz w:val="24"/>
          <w:szCs w:val="24"/>
          <w:lang w:val="en-US" w:eastAsia="zh-CN" w:bidi="ar"/>
        </w:rPr>
        <w:t>占一般公共预算财政拨款总支出的</w:t>
      </w:r>
      <w:r>
        <w:rPr>
          <w:rFonts w:hint="eastAsia" w:ascii="仿宋_GB2312" w:hAnsi="宋体" w:eastAsia="仿宋_GB2312" w:cs="仿宋_GB2312"/>
          <w:b w:val="0"/>
          <w:i w:val="0"/>
          <w:caps w:val="0"/>
          <w:color w:val="333333"/>
          <w:spacing w:val="0"/>
          <w:kern w:val="0"/>
          <w:sz w:val="30"/>
          <w:szCs w:val="30"/>
          <w:lang w:val="en-US" w:eastAsia="zh-CN" w:bidi="ar"/>
        </w:rPr>
        <w:t>86.99%。主要用于工资福利支出154.99万元，对个人和家庭补助支出4.44万元，商品和服务支出53.74万元。其中：办公费2.99万元、印刷费8万元、邮电费1. 5万元、差旅费7.22万元、维修维护费12.64万元、会议费0.5万元、培训费2万元、公务接待费0.53万元、其他交通费用18.34万元；</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2.公共安全（204类）支出5.63</w:t>
      </w:r>
      <w:r>
        <w:rPr>
          <w:rFonts w:hint="eastAsia" w:ascii="仿宋_GB2312" w:hAnsi="宋体" w:eastAsia="仿宋_GB2312" w:cs="仿宋_GB2312"/>
          <w:b w:val="0"/>
          <w:i w:val="0"/>
          <w:caps w:val="0"/>
          <w:color w:val="333333"/>
          <w:spacing w:val="0"/>
          <w:kern w:val="0"/>
          <w:sz w:val="24"/>
          <w:szCs w:val="24"/>
          <w:lang w:val="en-US" w:eastAsia="zh-CN" w:bidi="ar"/>
        </w:rPr>
        <w:t>万元，占一般公共预算财政拨款总支出的</w:t>
      </w:r>
      <w:r>
        <w:rPr>
          <w:rFonts w:hint="eastAsia" w:ascii="仿宋_GB2312" w:hAnsi="宋体" w:eastAsia="仿宋_GB2312" w:cs="仿宋_GB2312"/>
          <w:b w:val="0"/>
          <w:i w:val="0"/>
          <w:caps w:val="0"/>
          <w:color w:val="333333"/>
          <w:spacing w:val="0"/>
          <w:kern w:val="0"/>
          <w:sz w:val="30"/>
          <w:szCs w:val="30"/>
          <w:lang w:val="en-US" w:eastAsia="zh-CN" w:bidi="ar"/>
        </w:rPr>
        <w:t>2.24%。</w:t>
      </w:r>
      <w:r>
        <w:rPr>
          <w:rFonts w:hint="eastAsia" w:ascii="仿宋_GB2312" w:hAnsi="宋体" w:eastAsia="仿宋_GB2312" w:cs="仿宋_GB2312"/>
          <w:b w:val="0"/>
          <w:i w:val="0"/>
          <w:caps w:val="0"/>
          <w:color w:val="333333"/>
          <w:spacing w:val="0"/>
          <w:kern w:val="0"/>
          <w:sz w:val="24"/>
          <w:szCs w:val="24"/>
          <w:lang w:val="en-US" w:eastAsia="zh-CN" w:bidi="ar"/>
        </w:rPr>
        <w:t>主要用于禁毒防艾群防群治工作经费支出；</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3.社会保障和就业（208类）支出17.33万元，占一般公共预算财政拨款总支出的6.88%。用于基本养老保险缴费支出16.91万元，退休干部工作经费支出0.42万元；</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4.住房保障（221</w:t>
      </w:r>
      <w:r>
        <w:rPr>
          <w:rFonts w:hint="eastAsia" w:ascii="仿宋_GB2312" w:hAnsi="宋体" w:eastAsia="仿宋_GB2312" w:cs="仿宋_GB2312"/>
          <w:b w:val="0"/>
          <w:i w:val="0"/>
          <w:caps w:val="0"/>
          <w:color w:val="333333"/>
          <w:spacing w:val="0"/>
          <w:kern w:val="0"/>
          <w:sz w:val="24"/>
          <w:szCs w:val="24"/>
          <w:lang w:val="en-US" w:eastAsia="zh-CN" w:bidi="ar"/>
        </w:rPr>
        <w:t>类）支出</w:t>
      </w:r>
      <w:r>
        <w:rPr>
          <w:rFonts w:hint="eastAsia" w:ascii="仿宋_GB2312" w:hAnsi="宋体" w:eastAsia="仿宋_GB2312" w:cs="仿宋_GB2312"/>
          <w:b w:val="0"/>
          <w:i w:val="0"/>
          <w:caps w:val="0"/>
          <w:color w:val="333333"/>
          <w:spacing w:val="0"/>
          <w:kern w:val="0"/>
          <w:sz w:val="30"/>
          <w:szCs w:val="30"/>
          <w:lang w:val="en-US" w:eastAsia="zh-CN" w:bidi="ar"/>
        </w:rPr>
        <w:t>9.81万元，占一般公共预算财政拨款总支出的3.89%。用于住房公积金支出。</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四、一般公共预算财政拨款</w:t>
      </w:r>
      <w:r>
        <w:rPr>
          <w:rFonts w:hint="eastAsia" w:ascii="黑体" w:hAnsi="宋体" w:eastAsia="黑体" w:cs="黑体"/>
          <w:b w:val="0"/>
          <w:i w:val="0"/>
          <w:caps w:val="0"/>
          <w:color w:val="333333"/>
          <w:spacing w:val="0"/>
          <w:kern w:val="0"/>
          <w:sz w:val="30"/>
          <w:szCs w:val="30"/>
          <w:lang w:val="en-US" w:eastAsia="zh-CN" w:bidi="ar"/>
        </w:rPr>
        <w:t>“三公”经费支出决算情况说明</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30"/>
          <w:szCs w:val="30"/>
          <w:lang w:val="en-US" w:eastAsia="zh-CN" w:bidi="ar"/>
        </w:rPr>
        <w:t>(一)</w:t>
      </w:r>
      <w:r>
        <w:rPr>
          <w:rFonts w:hint="eastAsia" w:ascii="黑体" w:hAnsi="宋体" w:eastAsia="黑体" w:cs="黑体"/>
          <w:b w:val="0"/>
          <w:i w:val="0"/>
          <w:caps w:val="0"/>
          <w:color w:val="333333"/>
          <w:spacing w:val="0"/>
          <w:kern w:val="0"/>
          <w:sz w:val="30"/>
          <w:szCs w:val="30"/>
          <w:lang w:val="en-US" w:eastAsia="zh-CN" w:bidi="ar"/>
        </w:rPr>
        <w:t> </w:t>
      </w:r>
      <w:r>
        <w:rPr>
          <w:rFonts w:hint="default" w:ascii="楷体" w:hAnsi="楷体" w:eastAsia="楷体" w:cs="楷体"/>
          <w:b w:val="0"/>
          <w:i w:val="0"/>
          <w:caps w:val="0"/>
          <w:color w:val="333333"/>
          <w:spacing w:val="0"/>
          <w:kern w:val="0"/>
          <w:sz w:val="24"/>
          <w:szCs w:val="24"/>
          <w:lang w:val="en-US" w:eastAsia="zh-CN" w:bidi="ar"/>
        </w:rPr>
        <w:t>一般公共预算财政拨款</w:t>
      </w:r>
      <w:r>
        <w:rPr>
          <w:rFonts w:hint="default" w:ascii="楷体" w:hAnsi="楷体" w:eastAsia="楷体" w:cs="楷体"/>
          <w:b w:val="0"/>
          <w:i w:val="0"/>
          <w:caps w:val="0"/>
          <w:color w:val="333333"/>
          <w:spacing w:val="0"/>
          <w:kern w:val="0"/>
          <w:sz w:val="30"/>
          <w:szCs w:val="30"/>
          <w:lang w:val="en-US" w:eastAsia="zh-CN" w:bidi="ar"/>
        </w:rPr>
        <w:t>“三公”经费支出决算总体情况</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中国共产党盈江县委员会统一战线工作部</w:t>
      </w:r>
      <w:r>
        <w:rPr>
          <w:rFonts w:hint="eastAsia" w:ascii="仿宋_GB2312" w:hAnsi="宋体" w:eastAsia="仿宋_GB2312" w:cs="仿宋_GB2312"/>
          <w:b w:val="0"/>
          <w:i w:val="0"/>
          <w:caps w:val="0"/>
          <w:color w:val="333333"/>
          <w:spacing w:val="0"/>
          <w:kern w:val="0"/>
          <w:sz w:val="30"/>
          <w:szCs w:val="30"/>
          <w:lang w:val="en-US" w:eastAsia="zh-CN" w:bidi="ar"/>
        </w:rPr>
        <w:t>2018年度一般公共预算财政拨款“三公”经费支出预算为2.5万元，支出决算为0.53万元，完成预算的21%。其中：因公出国（境）费支出决算为0万元，完成预算的0%；公务用车购置及运行费支出决算为0万元，完成预算的0%；公务接待费支出决算为0.53万元，完成预算的21%。2018年度一般公共预算财政拨款“三公”经费支出决算数小于预算数的主要原因是严格遵守厉行节约规定，严格按规定执行公务接待。</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2018年度一般公共预算财政拨款“三公”经费支出决算数0.53万元，比2017年支出决算数2.13</w:t>
      </w:r>
      <w:r>
        <w:rPr>
          <w:rFonts w:hint="eastAsia" w:ascii="仿宋_GB2312" w:hAnsi="宋体" w:eastAsia="仿宋_GB2312" w:cs="仿宋_GB2312"/>
          <w:b w:val="0"/>
          <w:i w:val="0"/>
          <w:caps w:val="0"/>
          <w:color w:val="333333"/>
          <w:spacing w:val="0"/>
          <w:kern w:val="0"/>
          <w:sz w:val="24"/>
          <w:szCs w:val="24"/>
          <w:lang w:val="en-US" w:eastAsia="zh-CN" w:bidi="ar"/>
        </w:rPr>
        <w:t>万元减少</w:t>
      </w:r>
      <w:r>
        <w:rPr>
          <w:rFonts w:hint="eastAsia" w:ascii="仿宋_GB2312" w:hAnsi="宋体" w:eastAsia="仿宋_GB2312" w:cs="仿宋_GB2312"/>
          <w:b w:val="0"/>
          <w:i w:val="0"/>
          <w:caps w:val="0"/>
          <w:color w:val="333333"/>
          <w:spacing w:val="0"/>
          <w:kern w:val="0"/>
          <w:sz w:val="30"/>
          <w:szCs w:val="30"/>
          <w:lang w:val="en-US" w:eastAsia="zh-CN" w:bidi="ar"/>
        </w:rPr>
        <w:t>1.6万元，下降75%。其中：因公出国（境）费支出决算0万元，与上年持平；公务接待费支出决算支出决算数0.53万元比2017年支出决算数2.13</w:t>
      </w:r>
      <w:r>
        <w:rPr>
          <w:rFonts w:hint="eastAsia" w:ascii="仿宋_GB2312" w:hAnsi="宋体" w:eastAsia="仿宋_GB2312" w:cs="仿宋_GB2312"/>
          <w:b w:val="0"/>
          <w:i w:val="0"/>
          <w:caps w:val="0"/>
          <w:color w:val="333333"/>
          <w:spacing w:val="0"/>
          <w:kern w:val="0"/>
          <w:sz w:val="24"/>
          <w:szCs w:val="24"/>
          <w:lang w:val="en-US" w:eastAsia="zh-CN" w:bidi="ar"/>
        </w:rPr>
        <w:t>万元减少</w:t>
      </w:r>
      <w:r>
        <w:rPr>
          <w:rFonts w:hint="eastAsia" w:ascii="仿宋_GB2312" w:hAnsi="宋体" w:eastAsia="仿宋_GB2312" w:cs="仿宋_GB2312"/>
          <w:b w:val="0"/>
          <w:i w:val="0"/>
          <w:caps w:val="0"/>
          <w:color w:val="333333"/>
          <w:spacing w:val="0"/>
          <w:kern w:val="0"/>
          <w:sz w:val="30"/>
          <w:szCs w:val="30"/>
          <w:lang w:val="en-US" w:eastAsia="zh-CN" w:bidi="ar"/>
        </w:rPr>
        <w:t>1.6万元，下降75%。2018年度一般公共预算财政拨款“三公”经费支出决算减少的主要原因是严格遵守厉行节约规定，严格按规定执行公务接待。</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default" w:ascii="楷体" w:hAnsi="楷体" w:eastAsia="楷体" w:cs="楷体"/>
          <w:b w:val="0"/>
          <w:i w:val="0"/>
          <w:caps w:val="0"/>
          <w:color w:val="333333"/>
          <w:spacing w:val="0"/>
          <w:kern w:val="0"/>
          <w:sz w:val="30"/>
          <w:szCs w:val="30"/>
          <w:lang w:val="en-US" w:eastAsia="zh-CN" w:bidi="ar"/>
        </w:rPr>
        <w:t>(二)</w:t>
      </w:r>
      <w:r>
        <w:rPr>
          <w:rFonts w:hint="eastAsia" w:ascii="仿宋_GB2312" w:hAnsi="宋体" w:eastAsia="仿宋_GB2312" w:cs="仿宋_GB2312"/>
          <w:b w:val="0"/>
          <w:i w:val="0"/>
          <w:caps w:val="0"/>
          <w:color w:val="333333"/>
          <w:spacing w:val="0"/>
          <w:kern w:val="0"/>
          <w:sz w:val="30"/>
          <w:szCs w:val="30"/>
          <w:lang w:val="en-US" w:eastAsia="zh-CN" w:bidi="ar"/>
        </w:rPr>
        <w:t> </w:t>
      </w:r>
      <w:r>
        <w:rPr>
          <w:rFonts w:hint="default" w:ascii="楷体" w:hAnsi="楷体" w:eastAsia="楷体" w:cs="楷体"/>
          <w:b w:val="0"/>
          <w:i w:val="0"/>
          <w:caps w:val="0"/>
          <w:color w:val="333333"/>
          <w:spacing w:val="0"/>
          <w:kern w:val="0"/>
          <w:sz w:val="24"/>
          <w:szCs w:val="24"/>
          <w:lang w:val="en-US" w:eastAsia="zh-CN" w:bidi="ar"/>
        </w:rPr>
        <w:t>一般公共预算财政拨款</w:t>
      </w:r>
      <w:r>
        <w:rPr>
          <w:rFonts w:hint="default" w:ascii="楷体" w:hAnsi="楷体" w:eastAsia="楷体" w:cs="楷体"/>
          <w:b w:val="0"/>
          <w:i w:val="0"/>
          <w:caps w:val="0"/>
          <w:color w:val="333333"/>
          <w:spacing w:val="0"/>
          <w:kern w:val="0"/>
          <w:sz w:val="30"/>
          <w:szCs w:val="30"/>
          <w:lang w:val="en-US" w:eastAsia="zh-CN" w:bidi="ar"/>
        </w:rPr>
        <w:t>“三公”经费支出决算具体情况</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2018年度一般公共预算财政拨款“三公”经费支出决算中，因公出国（境）费支出0万元，占0%；公务用车购置及运行维护费支出0万元，占0%；公务接待费支出0.53万元，占100%。具体情况如下：</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1.因公出国（境）费</w:t>
      </w:r>
      <w:r>
        <w:rPr>
          <w:rFonts w:hint="eastAsia" w:ascii="仿宋_GB2312" w:hAnsi="宋体" w:eastAsia="仿宋_GB2312" w:cs="仿宋_GB2312"/>
          <w:b w:val="0"/>
          <w:i w:val="0"/>
          <w:caps w:val="0"/>
          <w:color w:val="333333"/>
          <w:spacing w:val="0"/>
          <w:kern w:val="0"/>
          <w:sz w:val="24"/>
          <w:szCs w:val="24"/>
          <w:lang w:val="en-US" w:eastAsia="zh-CN" w:bidi="ar"/>
        </w:rPr>
        <w:t>支出</w:t>
      </w:r>
      <w:r>
        <w:rPr>
          <w:rFonts w:hint="eastAsia" w:ascii="仿宋_GB2312" w:hAnsi="宋体" w:eastAsia="仿宋_GB2312" w:cs="仿宋_GB2312"/>
          <w:b w:val="0"/>
          <w:i w:val="0"/>
          <w:caps w:val="0"/>
          <w:color w:val="333333"/>
          <w:spacing w:val="0"/>
          <w:kern w:val="0"/>
          <w:sz w:val="30"/>
          <w:szCs w:val="30"/>
          <w:lang w:val="en-US" w:eastAsia="zh-CN" w:bidi="ar"/>
        </w:rPr>
        <w:t>0万元，共安排因公出国（境）团组0个，累计0人次。</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2. 公务用车购置及运行维护费</w:t>
      </w:r>
      <w:r>
        <w:rPr>
          <w:rFonts w:hint="eastAsia" w:ascii="仿宋_GB2312" w:hAnsi="宋体" w:eastAsia="仿宋_GB2312" w:cs="仿宋_GB2312"/>
          <w:b w:val="0"/>
          <w:i w:val="0"/>
          <w:caps w:val="0"/>
          <w:color w:val="333333"/>
          <w:spacing w:val="0"/>
          <w:kern w:val="0"/>
          <w:sz w:val="24"/>
          <w:szCs w:val="24"/>
          <w:lang w:val="en-US" w:eastAsia="zh-CN" w:bidi="ar"/>
        </w:rPr>
        <w:t>支出</w:t>
      </w:r>
      <w:r>
        <w:rPr>
          <w:rFonts w:hint="eastAsia" w:ascii="仿宋_GB2312" w:hAnsi="宋体" w:eastAsia="仿宋_GB2312" w:cs="仿宋_GB2312"/>
          <w:b w:val="0"/>
          <w:i w:val="0"/>
          <w:caps w:val="0"/>
          <w:color w:val="333333"/>
          <w:spacing w:val="0"/>
          <w:kern w:val="0"/>
          <w:sz w:val="30"/>
          <w:szCs w:val="30"/>
          <w:lang w:val="en-US" w:eastAsia="zh-CN" w:bidi="ar"/>
        </w:rPr>
        <w:t>0万元。其中：</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公务用车购置支出</w:t>
      </w:r>
      <w:r>
        <w:rPr>
          <w:rFonts w:hint="eastAsia" w:ascii="仿宋_GB2312" w:hAnsi="宋体" w:eastAsia="仿宋_GB2312" w:cs="仿宋_GB2312"/>
          <w:b w:val="0"/>
          <w:i w:val="0"/>
          <w:caps w:val="0"/>
          <w:color w:val="333333"/>
          <w:spacing w:val="0"/>
          <w:kern w:val="0"/>
          <w:sz w:val="30"/>
          <w:szCs w:val="30"/>
          <w:lang w:val="en-US" w:eastAsia="zh-CN" w:bidi="ar"/>
        </w:rPr>
        <w:t>0万元，购置车辆0辆。</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微软雅黑" w:eastAsia="仿宋_GB2312" w:cs="仿宋_GB2312"/>
          <w:b/>
          <w:i w:val="0"/>
          <w:caps w:val="0"/>
          <w:color w:val="333333"/>
          <w:spacing w:val="0"/>
          <w:kern w:val="0"/>
          <w:sz w:val="24"/>
          <w:szCs w:val="24"/>
          <w:lang w:val="en-US" w:eastAsia="zh-CN" w:bidi="ar"/>
        </w:rPr>
        <w:t>公务用车运行维护</w:t>
      </w:r>
      <w:r>
        <w:rPr>
          <w:rFonts w:hint="eastAsia" w:ascii="仿宋_GB2312" w:hAnsi="宋体" w:eastAsia="仿宋_GB2312" w:cs="仿宋_GB2312"/>
          <w:b w:val="0"/>
          <w:i w:val="0"/>
          <w:caps w:val="0"/>
          <w:color w:val="333333"/>
          <w:spacing w:val="0"/>
          <w:kern w:val="0"/>
          <w:sz w:val="24"/>
          <w:szCs w:val="24"/>
          <w:lang w:val="en-US" w:eastAsia="zh-CN" w:bidi="ar"/>
        </w:rPr>
        <w:t>支出</w:t>
      </w:r>
      <w:r>
        <w:rPr>
          <w:rFonts w:hint="eastAsia" w:ascii="仿宋_GB2312" w:hAnsi="宋体" w:eastAsia="仿宋_GB2312" w:cs="仿宋_GB2312"/>
          <w:b w:val="0"/>
          <w:i w:val="0"/>
          <w:caps w:val="0"/>
          <w:color w:val="333333"/>
          <w:spacing w:val="0"/>
          <w:kern w:val="0"/>
          <w:sz w:val="30"/>
          <w:szCs w:val="30"/>
          <w:lang w:val="en-US" w:eastAsia="zh-CN" w:bidi="ar"/>
        </w:rPr>
        <w:t>0万元，开支一般公共预算财政拨款的公务用车保有量为0辆。</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3.公务接待费</w:t>
      </w:r>
      <w:r>
        <w:rPr>
          <w:rFonts w:hint="eastAsia" w:ascii="仿宋_GB2312" w:hAnsi="宋体" w:eastAsia="仿宋_GB2312" w:cs="仿宋_GB2312"/>
          <w:b w:val="0"/>
          <w:i w:val="0"/>
          <w:caps w:val="0"/>
          <w:color w:val="333333"/>
          <w:spacing w:val="0"/>
          <w:kern w:val="0"/>
          <w:sz w:val="24"/>
          <w:szCs w:val="24"/>
          <w:lang w:val="en-US" w:eastAsia="zh-CN" w:bidi="ar"/>
        </w:rPr>
        <w:t>支出</w:t>
      </w:r>
      <w:r>
        <w:rPr>
          <w:rFonts w:hint="eastAsia" w:ascii="仿宋_GB2312" w:hAnsi="宋体" w:eastAsia="仿宋_GB2312" w:cs="仿宋_GB2312"/>
          <w:b w:val="0"/>
          <w:i w:val="0"/>
          <w:caps w:val="0"/>
          <w:color w:val="333333"/>
          <w:spacing w:val="0"/>
          <w:kern w:val="0"/>
          <w:sz w:val="30"/>
          <w:szCs w:val="30"/>
          <w:lang w:val="en-US" w:eastAsia="zh-CN" w:bidi="ar"/>
        </w:rPr>
        <w:t>0.53万元。其中：</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国内接待费支出</w:t>
      </w:r>
      <w:r>
        <w:rPr>
          <w:rFonts w:hint="eastAsia" w:ascii="仿宋_GB2312" w:hAnsi="宋体" w:eastAsia="仿宋_GB2312" w:cs="仿宋_GB2312"/>
          <w:b w:val="0"/>
          <w:i w:val="0"/>
          <w:caps w:val="0"/>
          <w:color w:val="333333"/>
          <w:spacing w:val="0"/>
          <w:kern w:val="0"/>
          <w:sz w:val="30"/>
          <w:szCs w:val="30"/>
          <w:lang w:val="en-US" w:eastAsia="zh-CN" w:bidi="ar"/>
        </w:rPr>
        <w:t>0.53万元（其中：外事接待费支出0万元），共安排国内公务接待18批次（其中：外事接待0批次），接待人次69人（其中：外事接待人次0人）。主要用于接待上级部门调研、指导工作及接待党外代表人士、宗教界人士、民主党派人士工作发生的接待支出。</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国（境）外接待费支出</w:t>
      </w:r>
      <w:r>
        <w:rPr>
          <w:rFonts w:hint="eastAsia" w:ascii="仿宋_GB2312" w:hAnsi="宋体" w:eastAsia="仿宋_GB2312" w:cs="仿宋_GB2312"/>
          <w:b w:val="0"/>
          <w:i w:val="0"/>
          <w:caps w:val="0"/>
          <w:color w:val="333333"/>
          <w:spacing w:val="0"/>
          <w:kern w:val="0"/>
          <w:sz w:val="30"/>
          <w:szCs w:val="30"/>
          <w:lang w:val="en-US" w:eastAsia="zh-CN" w:bidi="ar"/>
        </w:rPr>
        <w:t>0万元，共安排国（境）外公务接待0批次，接待人次0人。</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第四部分</w:t>
      </w:r>
      <w:r>
        <w:rPr>
          <w:rFonts w:hint="eastAsia" w:ascii="黑体" w:hAnsi="宋体" w:eastAsia="黑体" w:cs="黑体"/>
          <w:b w:val="0"/>
          <w:i w:val="0"/>
          <w:caps w:val="0"/>
          <w:color w:val="333333"/>
          <w:spacing w:val="0"/>
          <w:kern w:val="0"/>
          <w:sz w:val="32"/>
          <w:szCs w:val="32"/>
          <w:lang w:val="en-US" w:eastAsia="zh-CN" w:bidi="ar"/>
        </w:rPr>
        <w:t>  </w:t>
      </w:r>
      <w:r>
        <w:rPr>
          <w:rFonts w:hint="eastAsia" w:ascii="黑体" w:hAnsi="宋体" w:eastAsia="黑体" w:cs="黑体"/>
          <w:b w:val="0"/>
          <w:i w:val="0"/>
          <w:caps w:val="0"/>
          <w:color w:val="333333"/>
          <w:spacing w:val="0"/>
          <w:kern w:val="0"/>
          <w:sz w:val="24"/>
          <w:szCs w:val="24"/>
          <w:lang w:val="en-US" w:eastAsia="zh-CN" w:bidi="ar"/>
        </w:rPr>
        <w:t>其他重要事项及相关口径情况说明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一、机关运行经费支出情况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中国共产党盈江县委员会统一战线工作部</w:t>
      </w:r>
      <w:r>
        <w:rPr>
          <w:rFonts w:hint="eastAsia" w:ascii="仿宋_GB2312" w:hAnsi="宋体" w:eastAsia="仿宋_GB2312" w:cs="仿宋_GB2312"/>
          <w:b w:val="0"/>
          <w:i w:val="0"/>
          <w:caps w:val="0"/>
          <w:color w:val="333333"/>
          <w:spacing w:val="0"/>
          <w:kern w:val="0"/>
          <w:sz w:val="30"/>
          <w:szCs w:val="30"/>
          <w:lang w:val="en-US" w:eastAsia="zh-CN" w:bidi="ar"/>
        </w:rPr>
        <w:t>2018</w:t>
      </w:r>
      <w:r>
        <w:rPr>
          <w:rFonts w:hint="eastAsia" w:ascii="仿宋_GB2312" w:hAnsi="宋体" w:eastAsia="仿宋_GB2312" w:cs="仿宋_GB2312"/>
          <w:b w:val="0"/>
          <w:i w:val="0"/>
          <w:caps w:val="0"/>
          <w:color w:val="333333"/>
          <w:spacing w:val="0"/>
          <w:kern w:val="0"/>
          <w:sz w:val="24"/>
          <w:szCs w:val="24"/>
          <w:lang w:val="en-US" w:eastAsia="zh-CN" w:bidi="ar"/>
        </w:rPr>
        <w:t>年机关运行经费支出</w:t>
      </w:r>
      <w:r>
        <w:rPr>
          <w:rFonts w:hint="eastAsia" w:ascii="仿宋_GB2312" w:hAnsi="宋体" w:eastAsia="仿宋_GB2312" w:cs="仿宋_GB2312"/>
          <w:b w:val="0"/>
          <w:i w:val="0"/>
          <w:caps w:val="0"/>
          <w:color w:val="333333"/>
          <w:spacing w:val="0"/>
          <w:kern w:val="0"/>
          <w:sz w:val="30"/>
          <w:szCs w:val="30"/>
          <w:lang w:val="en-US" w:eastAsia="zh-CN" w:bidi="ar"/>
        </w:rPr>
        <w:t>30.1万元，与上年机关运行经费支出48.85万元对比减少18.75万元, </w:t>
      </w:r>
      <w:r>
        <w:rPr>
          <w:rFonts w:hint="eastAsia" w:ascii="仿宋_GB2312" w:hAnsi="宋体" w:eastAsia="仿宋_GB2312" w:cs="仿宋_GB2312"/>
          <w:b w:val="0"/>
          <w:i w:val="0"/>
          <w:caps w:val="0"/>
          <w:color w:val="333333"/>
          <w:spacing w:val="0"/>
          <w:kern w:val="0"/>
          <w:sz w:val="24"/>
          <w:szCs w:val="24"/>
          <w:lang w:val="en-US" w:eastAsia="zh-CN" w:bidi="ar"/>
        </w:rPr>
        <w:t>减</w:t>
      </w:r>
      <w:r>
        <w:rPr>
          <w:rFonts w:hint="eastAsia" w:ascii="仿宋_GB2312" w:hAnsi="宋体" w:eastAsia="仿宋_GB2312" w:cs="仿宋_GB2312"/>
          <w:b w:val="0"/>
          <w:i w:val="0"/>
          <w:caps w:val="0"/>
          <w:color w:val="333333"/>
          <w:spacing w:val="0"/>
          <w:kern w:val="0"/>
          <w:sz w:val="30"/>
          <w:szCs w:val="30"/>
          <w:lang w:val="en-US" w:eastAsia="zh-CN" w:bidi="ar"/>
        </w:rPr>
        <w:t>38.38%，</w:t>
      </w:r>
      <w:r>
        <w:rPr>
          <w:rFonts w:hint="eastAsia" w:ascii="仿宋_GB2312" w:hAnsi="宋体" w:eastAsia="仿宋_GB2312" w:cs="仿宋_GB2312"/>
          <w:b w:val="0"/>
          <w:i w:val="0"/>
          <w:caps w:val="0"/>
          <w:color w:val="333333"/>
          <w:spacing w:val="0"/>
          <w:kern w:val="0"/>
          <w:sz w:val="24"/>
          <w:szCs w:val="24"/>
          <w:lang w:val="en-US" w:eastAsia="zh-CN" w:bidi="ar"/>
        </w:rPr>
        <w:t>主要原因分析严格遵守厉行节约规定，严格财务管理，节约行政成本。部门机关运行经费主要用于维持机构日常运转的办公费、邮电费、交通费、接待费、残疾人保障金、工会经费等支出。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000000"/>
          <w:spacing w:val="0"/>
          <w:kern w:val="0"/>
          <w:sz w:val="24"/>
          <w:szCs w:val="24"/>
          <w:lang w:val="en-US" w:eastAsia="zh-CN" w:bidi="ar"/>
        </w:rPr>
        <w:t>二、国有资产占用情况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000000"/>
          <w:spacing w:val="0"/>
          <w:kern w:val="0"/>
          <w:sz w:val="24"/>
          <w:szCs w:val="24"/>
          <w:lang w:val="en-US" w:eastAsia="zh-CN" w:bidi="ar"/>
        </w:rPr>
        <w:t>截至</w:t>
      </w:r>
      <w:r>
        <w:rPr>
          <w:rFonts w:hint="eastAsia" w:ascii="仿宋_GB2312" w:hAnsi="宋体" w:eastAsia="仿宋_GB2312" w:cs="仿宋_GB2312"/>
          <w:b w:val="0"/>
          <w:i w:val="0"/>
          <w:caps w:val="0"/>
          <w:color w:val="000000"/>
          <w:spacing w:val="0"/>
          <w:kern w:val="0"/>
          <w:sz w:val="30"/>
          <w:szCs w:val="30"/>
          <w:lang w:val="en-US" w:eastAsia="zh-CN" w:bidi="ar"/>
        </w:rPr>
        <w:t>2018年12月31日，</w:t>
      </w:r>
      <w:r>
        <w:rPr>
          <w:rFonts w:hint="eastAsia" w:ascii="仿宋_GB2312" w:hAnsi="宋体" w:eastAsia="仿宋_GB2312" w:cs="仿宋_GB2312"/>
          <w:b w:val="0"/>
          <w:i w:val="0"/>
          <w:caps w:val="0"/>
          <w:color w:val="333333"/>
          <w:spacing w:val="0"/>
          <w:kern w:val="0"/>
          <w:sz w:val="24"/>
          <w:szCs w:val="24"/>
          <w:lang w:val="en-US" w:eastAsia="zh-CN" w:bidi="ar"/>
        </w:rPr>
        <w:t>中国共产党盈江县委员会统一战线工作部</w:t>
      </w:r>
      <w:r>
        <w:rPr>
          <w:rFonts w:hint="eastAsia" w:ascii="仿宋_GB2312" w:hAnsi="宋体" w:eastAsia="仿宋_GB2312" w:cs="仿宋_GB2312"/>
          <w:b w:val="0"/>
          <w:i w:val="0"/>
          <w:caps w:val="0"/>
          <w:color w:val="000000"/>
          <w:spacing w:val="0"/>
          <w:kern w:val="0"/>
          <w:sz w:val="24"/>
          <w:szCs w:val="24"/>
          <w:lang w:val="en-US" w:eastAsia="zh-CN" w:bidi="ar"/>
        </w:rPr>
        <w:t>资产总额</w:t>
      </w:r>
      <w:r>
        <w:rPr>
          <w:rFonts w:hint="eastAsia" w:ascii="仿宋_GB2312" w:hAnsi="宋体" w:eastAsia="仿宋_GB2312" w:cs="仿宋_GB2312"/>
          <w:b w:val="0"/>
          <w:i w:val="0"/>
          <w:caps w:val="0"/>
          <w:color w:val="000000"/>
          <w:spacing w:val="0"/>
          <w:kern w:val="0"/>
          <w:sz w:val="30"/>
          <w:szCs w:val="30"/>
          <w:lang w:val="en-US" w:eastAsia="zh-CN" w:bidi="ar"/>
        </w:rPr>
        <w:t>19.85万元，其中，流动资产10.39万元，固定资产9.46万元，对外投资及有价证券0万元，在建工程0万元，无形资产0万元，其他资产0万元（具体内容详见附表）。与上年资产总额39.73</w:t>
      </w:r>
      <w:r>
        <w:rPr>
          <w:rFonts w:hint="eastAsia" w:ascii="仿宋_GB2312" w:hAnsi="宋体" w:eastAsia="仿宋_GB2312" w:cs="仿宋_GB2312"/>
          <w:b w:val="0"/>
          <w:i w:val="0"/>
          <w:caps w:val="0"/>
          <w:color w:val="000000"/>
          <w:spacing w:val="0"/>
          <w:kern w:val="0"/>
          <w:sz w:val="24"/>
          <w:szCs w:val="24"/>
          <w:lang w:val="en-US" w:eastAsia="zh-CN" w:bidi="ar"/>
        </w:rPr>
        <w:t>万元相比，本年资产总额减少</w:t>
      </w:r>
      <w:r>
        <w:rPr>
          <w:rFonts w:hint="eastAsia" w:ascii="仿宋_GB2312" w:hAnsi="宋体" w:eastAsia="仿宋_GB2312" w:cs="仿宋_GB2312"/>
          <w:b w:val="0"/>
          <w:i w:val="0"/>
          <w:caps w:val="0"/>
          <w:color w:val="000000"/>
          <w:spacing w:val="0"/>
          <w:kern w:val="0"/>
          <w:sz w:val="30"/>
          <w:szCs w:val="30"/>
          <w:lang w:val="en-US" w:eastAsia="zh-CN" w:bidi="ar"/>
        </w:rPr>
        <w:t>19.88万元，</w:t>
      </w:r>
      <w:r>
        <w:rPr>
          <w:rFonts w:hint="eastAsia" w:ascii="仿宋_GB2312" w:hAnsi="宋体" w:eastAsia="仿宋_GB2312" w:cs="仿宋_GB2312"/>
          <w:b w:val="0"/>
          <w:i w:val="0"/>
          <w:caps w:val="0"/>
          <w:color w:val="000000"/>
          <w:spacing w:val="0"/>
          <w:kern w:val="0"/>
          <w:sz w:val="24"/>
          <w:szCs w:val="24"/>
          <w:lang w:val="en-US" w:eastAsia="zh-CN" w:bidi="ar"/>
        </w:rPr>
        <w:t>减</w:t>
      </w:r>
      <w:r>
        <w:rPr>
          <w:rFonts w:hint="eastAsia" w:ascii="仿宋_GB2312" w:hAnsi="宋体" w:eastAsia="仿宋_GB2312" w:cs="仿宋_GB2312"/>
          <w:b w:val="0"/>
          <w:i w:val="0"/>
          <w:caps w:val="0"/>
          <w:color w:val="000000"/>
          <w:spacing w:val="0"/>
          <w:kern w:val="0"/>
          <w:sz w:val="30"/>
          <w:szCs w:val="30"/>
          <w:lang w:val="en-US" w:eastAsia="zh-CN" w:bidi="ar"/>
        </w:rPr>
        <w:t>50.04%，</w:t>
      </w:r>
      <w:r>
        <w:rPr>
          <w:rFonts w:hint="eastAsia" w:ascii="仿宋_GB2312" w:hAnsi="宋体" w:eastAsia="仿宋_GB2312" w:cs="仿宋_GB2312"/>
          <w:b w:val="0"/>
          <w:i w:val="0"/>
          <w:caps w:val="0"/>
          <w:color w:val="000000"/>
          <w:spacing w:val="0"/>
          <w:kern w:val="0"/>
          <w:sz w:val="24"/>
          <w:szCs w:val="24"/>
          <w:lang w:val="en-US" w:eastAsia="zh-CN" w:bidi="ar"/>
        </w:rPr>
        <w:t>其中固定资产增加</w:t>
      </w:r>
      <w:r>
        <w:rPr>
          <w:rFonts w:hint="eastAsia" w:ascii="仿宋_GB2312" w:hAnsi="宋体" w:eastAsia="仿宋_GB2312" w:cs="仿宋_GB2312"/>
          <w:b w:val="0"/>
          <w:i w:val="0"/>
          <w:caps w:val="0"/>
          <w:color w:val="000000"/>
          <w:spacing w:val="0"/>
          <w:kern w:val="0"/>
          <w:sz w:val="30"/>
          <w:szCs w:val="30"/>
          <w:lang w:val="en-US" w:eastAsia="zh-CN" w:bidi="ar"/>
        </w:rPr>
        <w:t>1.52万元。处置房屋建筑物0平方米，账面原值0万元；处置车辆0辆，账面原值0万元；报废报损资产0项，账面原值0万元，实现资产处置收入0万元；出租房屋0平方米，账面原值0万元，实现资产使用收入0万元。</w:t>
      </w:r>
    </w:p>
    <w:tbl>
      <w:tblPr>
        <w:tblStyle w:val="8"/>
        <w:tblW w:w="11920" w:type="dxa"/>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92"/>
        <w:gridCol w:w="692"/>
        <w:gridCol w:w="1172"/>
        <w:gridCol w:w="1172"/>
        <w:gridCol w:w="1052"/>
        <w:gridCol w:w="692"/>
        <w:gridCol w:w="692"/>
        <w:gridCol w:w="572"/>
        <w:gridCol w:w="194"/>
        <w:gridCol w:w="556"/>
        <w:gridCol w:w="572"/>
        <w:gridCol w:w="692"/>
        <w:gridCol w:w="692"/>
        <w:gridCol w:w="572"/>
        <w:gridCol w:w="361"/>
        <w:gridCol w:w="211"/>
        <w:gridCol w:w="542"/>
        <w:gridCol w:w="240"/>
        <w:gridCol w:w="5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95" w:hRule="atLeast"/>
        </w:trPr>
        <w:tc>
          <w:tcPr>
            <w:tcW w:w="11368" w:type="dxa"/>
            <w:gridSpan w:val="18"/>
            <w:tcBorders>
              <w:top w:val="nil"/>
              <w:left w:val="nil"/>
              <w:bottom w:val="nil"/>
              <w:right w:val="nil"/>
            </w:tcBorders>
            <w:shd w:val="clear" w:color="auto" w:fill="FFFFFF"/>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i w:val="0"/>
                <w:caps w:val="0"/>
                <w:color w:val="000000"/>
                <w:spacing w:val="0"/>
                <w:kern w:val="0"/>
                <w:sz w:val="24"/>
                <w:szCs w:val="24"/>
                <w:lang w:val="en-US" w:eastAsia="zh-CN" w:bidi="ar"/>
              </w:rPr>
              <w:t>国有资产占有使用情况表</w:t>
            </w:r>
          </w:p>
        </w:tc>
        <w:tc>
          <w:tcPr>
            <w:tcW w:w="552" w:type="dxa"/>
            <w:tcBorders>
              <w:top w:val="nil"/>
              <w:left w:val="nil"/>
              <w:bottom w:val="nil"/>
              <w:right w:val="nil"/>
            </w:tcBorders>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7" w:hRule="atLeast"/>
        </w:trPr>
        <w:tc>
          <w:tcPr>
            <w:tcW w:w="6164" w:type="dxa"/>
            <w:gridSpan w:val="7"/>
            <w:tcBorders>
              <w:top w:val="nil"/>
              <w:left w:val="nil"/>
              <w:bottom w:val="single" w:color="808080" w:sz="8" w:space="0"/>
              <w:right w:val="nil"/>
            </w:tcBorders>
            <w:shd w:val="clear" w:color="auto" w:fill="FFFFFF"/>
            <w:vAlign w:val="center"/>
          </w:tcPr>
          <w:p>
            <w:pPr>
              <w:keepNext w:val="0"/>
              <w:keepLines w:val="0"/>
              <w:widowControl/>
              <w:suppressLineNumbers w:val="0"/>
              <w:spacing w:before="0" w:beforeAutospacing="0" w:after="0" w:afterAutospacing="0" w:line="600" w:lineRule="atLeast"/>
              <w:ind w:left="0" w:right="0" w:firstLine="420"/>
              <w:jc w:val="left"/>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572" w:type="dxa"/>
            <w:tcBorders>
              <w:top w:val="nil"/>
              <w:left w:val="nil"/>
              <w:bottom w:val="single" w:color="808080" w:sz="8" w:space="0"/>
              <w:right w:val="nil"/>
            </w:tcBorders>
            <w:shd w:val="clear" w:color="auto" w:fill="FFFFFF"/>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750" w:type="dxa"/>
            <w:gridSpan w:val="2"/>
            <w:tcBorders>
              <w:top w:val="nil"/>
              <w:left w:val="nil"/>
              <w:bottom w:val="single" w:color="808080" w:sz="8" w:space="0"/>
              <w:right w:val="nil"/>
            </w:tcBorders>
            <w:shd w:val="clear" w:color="auto" w:fill="FFFFFF"/>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572" w:type="dxa"/>
            <w:tcBorders>
              <w:top w:val="nil"/>
              <w:left w:val="nil"/>
              <w:bottom w:val="single" w:color="808080" w:sz="8" w:space="0"/>
              <w:right w:val="nil"/>
            </w:tcBorders>
            <w:shd w:val="clear" w:color="auto" w:fill="FFFFFF"/>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692" w:type="dxa"/>
            <w:tcBorders>
              <w:top w:val="nil"/>
              <w:left w:val="nil"/>
              <w:bottom w:val="single" w:color="808080" w:sz="8" w:space="0"/>
              <w:right w:val="nil"/>
            </w:tcBorders>
            <w:shd w:val="clear" w:color="auto" w:fill="FFFFFF"/>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692" w:type="dxa"/>
            <w:tcBorders>
              <w:top w:val="nil"/>
              <w:left w:val="nil"/>
              <w:bottom w:val="single" w:color="808080" w:sz="8" w:space="0"/>
              <w:right w:val="nil"/>
            </w:tcBorders>
            <w:shd w:val="clear" w:color="auto" w:fill="FFFFFF"/>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1926" w:type="dxa"/>
            <w:gridSpan w:val="5"/>
            <w:tcBorders>
              <w:top w:val="nil"/>
              <w:left w:val="nil"/>
              <w:bottom w:val="single" w:color="808080" w:sz="8" w:space="0"/>
              <w:right w:val="nil"/>
            </w:tcBorders>
            <w:shd w:val="clear" w:color="auto" w:fill="FFFFFF"/>
            <w:vAlign w:val="center"/>
          </w:tcPr>
          <w:p>
            <w:pPr>
              <w:keepNext w:val="0"/>
              <w:keepLines w:val="0"/>
              <w:widowControl/>
              <w:suppressLineNumbers w:val="0"/>
              <w:spacing w:before="0" w:beforeAutospacing="0" w:after="0" w:afterAutospacing="0" w:line="600" w:lineRule="atLeast"/>
              <w:ind w:left="0" w:right="0" w:firstLine="420"/>
              <w:jc w:val="right"/>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单位：万元</w:t>
            </w:r>
          </w:p>
        </w:tc>
        <w:tc>
          <w:tcPr>
            <w:tcW w:w="552" w:type="dxa"/>
            <w:tcBorders>
              <w:top w:val="nil"/>
              <w:left w:val="nil"/>
              <w:bottom w:val="nil"/>
              <w:right w:val="nil"/>
            </w:tcBorders>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15" w:hRule="atLeast"/>
        </w:trPr>
        <w:tc>
          <w:tcPr>
            <w:tcW w:w="692"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项目</w:t>
            </w:r>
          </w:p>
        </w:tc>
        <w:tc>
          <w:tcPr>
            <w:tcW w:w="692"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行次</w:t>
            </w:r>
          </w:p>
        </w:tc>
        <w:tc>
          <w:tcPr>
            <w:tcW w:w="1172"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资产总额</w:t>
            </w:r>
          </w:p>
        </w:tc>
        <w:tc>
          <w:tcPr>
            <w:tcW w:w="1172"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流动资产</w:t>
            </w:r>
          </w:p>
        </w:tc>
        <w:tc>
          <w:tcPr>
            <w:tcW w:w="4330" w:type="dxa"/>
            <w:gridSpan w:val="7"/>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固定资产</w:t>
            </w:r>
          </w:p>
        </w:tc>
        <w:tc>
          <w:tcPr>
            <w:tcW w:w="692"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对外投资/有价证券</w:t>
            </w:r>
          </w:p>
        </w:tc>
        <w:tc>
          <w:tcPr>
            <w:tcW w:w="692"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在建工程</w:t>
            </w:r>
          </w:p>
        </w:tc>
        <w:tc>
          <w:tcPr>
            <w:tcW w:w="933"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无形资产</w:t>
            </w:r>
          </w:p>
        </w:tc>
        <w:tc>
          <w:tcPr>
            <w:tcW w:w="993" w:type="dxa"/>
            <w:gridSpan w:val="3"/>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其他资产</w:t>
            </w:r>
          </w:p>
        </w:tc>
        <w:tc>
          <w:tcPr>
            <w:tcW w:w="552" w:type="dxa"/>
            <w:tcBorders>
              <w:top w:val="nil"/>
              <w:left w:val="nil"/>
              <w:bottom w:val="nil"/>
              <w:right w:val="nil"/>
            </w:tcBorders>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5" w:hRule="atLeast"/>
        </w:trPr>
        <w:tc>
          <w:tcPr>
            <w:tcW w:w="692" w:type="dxa"/>
            <w:vMerge w:val="continue"/>
            <w:tcBorders>
              <w:top w:val="nil"/>
              <w:left w:val="single" w:color="000000" w:sz="8" w:space="0"/>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69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117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117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1052"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小计</w:t>
            </w:r>
          </w:p>
        </w:tc>
        <w:tc>
          <w:tcPr>
            <w:tcW w:w="692"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房屋构筑物</w:t>
            </w:r>
          </w:p>
        </w:tc>
        <w:tc>
          <w:tcPr>
            <w:tcW w:w="692"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车辆</w:t>
            </w:r>
          </w:p>
        </w:tc>
        <w:tc>
          <w:tcPr>
            <w:tcW w:w="766"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单价200万以上大型设备</w:t>
            </w:r>
          </w:p>
        </w:tc>
        <w:tc>
          <w:tcPr>
            <w:tcW w:w="1128" w:type="dxa"/>
            <w:gridSpan w:val="2"/>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其他固定资产</w:t>
            </w:r>
          </w:p>
        </w:tc>
        <w:tc>
          <w:tcPr>
            <w:tcW w:w="69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69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933" w:type="dxa"/>
            <w:gridSpan w:val="2"/>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993" w:type="dxa"/>
            <w:gridSpan w:val="3"/>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552" w:type="dxa"/>
            <w:tcBorders>
              <w:top w:val="nil"/>
              <w:left w:val="nil"/>
              <w:bottom w:val="nil"/>
              <w:right w:val="nil"/>
            </w:tcBorders>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5" w:hRule="atLeast"/>
        </w:trPr>
        <w:tc>
          <w:tcPr>
            <w:tcW w:w="692" w:type="dxa"/>
            <w:vMerge w:val="continue"/>
            <w:tcBorders>
              <w:top w:val="nil"/>
              <w:left w:val="single" w:color="000000" w:sz="8" w:space="0"/>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69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117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117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105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69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69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766" w:type="dxa"/>
            <w:gridSpan w:val="2"/>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1128" w:type="dxa"/>
            <w:gridSpan w:val="2"/>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69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692" w:type="dxa"/>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933" w:type="dxa"/>
            <w:gridSpan w:val="2"/>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993" w:type="dxa"/>
            <w:gridSpan w:val="3"/>
            <w:vMerge w:val="continue"/>
            <w:tcBorders>
              <w:top w:val="nil"/>
              <w:left w:val="nil"/>
              <w:bottom w:val="single" w:color="000000" w:sz="8" w:space="0"/>
              <w:right w:val="single" w:color="000000" w:sz="8" w:space="0"/>
            </w:tcBorders>
            <w:shd w:val="clear" w:color="auto" w:fill="auto"/>
            <w:vAlign w:val="center"/>
          </w:tcPr>
          <w:p>
            <w:pPr>
              <w:rPr>
                <w:rFonts w:hint="default" w:ascii="微软雅黑" w:hAnsi="微软雅黑" w:eastAsia="微软雅黑" w:cs="微软雅黑"/>
                <w:b w:val="0"/>
                <w:i w:val="0"/>
                <w:caps w:val="0"/>
                <w:color w:val="333333"/>
                <w:spacing w:val="0"/>
                <w:sz w:val="24"/>
                <w:szCs w:val="24"/>
              </w:rPr>
            </w:pPr>
          </w:p>
        </w:tc>
        <w:tc>
          <w:tcPr>
            <w:tcW w:w="552" w:type="dxa"/>
            <w:tcBorders>
              <w:top w:val="nil"/>
              <w:left w:val="nil"/>
              <w:bottom w:val="nil"/>
              <w:right w:val="nil"/>
            </w:tcBorders>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69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栏次</w:t>
            </w:r>
          </w:p>
        </w:tc>
        <w:tc>
          <w:tcPr>
            <w:tcW w:w="69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11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1</w:t>
            </w:r>
          </w:p>
        </w:tc>
        <w:tc>
          <w:tcPr>
            <w:tcW w:w="11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2</w:t>
            </w:r>
          </w:p>
        </w:tc>
        <w:tc>
          <w:tcPr>
            <w:tcW w:w="10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3</w:t>
            </w:r>
          </w:p>
        </w:tc>
        <w:tc>
          <w:tcPr>
            <w:tcW w:w="69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4</w:t>
            </w:r>
          </w:p>
        </w:tc>
        <w:tc>
          <w:tcPr>
            <w:tcW w:w="69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5</w:t>
            </w:r>
          </w:p>
        </w:tc>
        <w:tc>
          <w:tcPr>
            <w:tcW w:w="766"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6</w:t>
            </w:r>
          </w:p>
        </w:tc>
        <w:tc>
          <w:tcPr>
            <w:tcW w:w="112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7</w:t>
            </w:r>
          </w:p>
        </w:tc>
        <w:tc>
          <w:tcPr>
            <w:tcW w:w="69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8</w:t>
            </w:r>
          </w:p>
        </w:tc>
        <w:tc>
          <w:tcPr>
            <w:tcW w:w="69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9</w:t>
            </w:r>
          </w:p>
        </w:tc>
        <w:tc>
          <w:tcPr>
            <w:tcW w:w="933"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10</w:t>
            </w:r>
          </w:p>
        </w:tc>
        <w:tc>
          <w:tcPr>
            <w:tcW w:w="993"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11</w:t>
            </w:r>
          </w:p>
        </w:tc>
        <w:tc>
          <w:tcPr>
            <w:tcW w:w="552" w:type="dxa"/>
            <w:tcBorders>
              <w:top w:val="nil"/>
              <w:left w:val="nil"/>
              <w:bottom w:val="nil"/>
              <w:right w:val="nil"/>
            </w:tcBorders>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3" w:hRule="atLeast"/>
        </w:trPr>
        <w:tc>
          <w:tcPr>
            <w:tcW w:w="692"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合计</w:t>
            </w:r>
          </w:p>
        </w:tc>
        <w:tc>
          <w:tcPr>
            <w:tcW w:w="69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center"/>
              <w:textAlignment w:val="center"/>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1</w:t>
            </w:r>
          </w:p>
        </w:tc>
        <w:tc>
          <w:tcPr>
            <w:tcW w:w="11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righ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19.85 </w:t>
            </w:r>
          </w:p>
        </w:tc>
        <w:tc>
          <w:tcPr>
            <w:tcW w:w="11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righ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10.39 </w:t>
            </w:r>
          </w:p>
        </w:tc>
        <w:tc>
          <w:tcPr>
            <w:tcW w:w="10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righ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9.46 </w:t>
            </w:r>
          </w:p>
        </w:tc>
        <w:tc>
          <w:tcPr>
            <w:tcW w:w="69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righ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69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righ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766"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righ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112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righ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9.46 </w:t>
            </w:r>
          </w:p>
        </w:tc>
        <w:tc>
          <w:tcPr>
            <w:tcW w:w="69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righ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69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righ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933"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righ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993"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600" w:lineRule="atLeast"/>
              <w:ind w:left="0" w:right="0" w:firstLine="420"/>
              <w:jc w:val="righ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552" w:type="dxa"/>
            <w:tcBorders>
              <w:top w:val="nil"/>
              <w:left w:val="nil"/>
              <w:bottom w:val="nil"/>
              <w:right w:val="nil"/>
            </w:tcBorders>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9" w:hRule="atLeast"/>
        </w:trPr>
        <w:tc>
          <w:tcPr>
            <w:tcW w:w="9442" w:type="dxa"/>
            <w:gridSpan w:val="13"/>
            <w:tcBorders>
              <w:top w:val="nil"/>
              <w:left w:val="nil"/>
              <w:bottom w:val="nil"/>
              <w:right w:val="nil"/>
            </w:tcBorders>
            <w:shd w:val="clear" w:color="auto" w:fill="auto"/>
            <w:vAlign w:val="bottom"/>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572" w:type="dxa"/>
            <w:tcBorders>
              <w:top w:val="nil"/>
              <w:left w:val="nil"/>
              <w:bottom w:val="nil"/>
              <w:right w:val="nil"/>
            </w:tcBorders>
            <w:shd w:val="clear" w:color="auto" w:fill="auto"/>
            <w:vAlign w:val="bottom"/>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572" w:type="dxa"/>
            <w:gridSpan w:val="2"/>
            <w:tcBorders>
              <w:top w:val="nil"/>
              <w:left w:val="nil"/>
              <w:bottom w:val="nil"/>
              <w:right w:val="nil"/>
            </w:tcBorders>
            <w:shd w:val="clear" w:color="auto" w:fill="auto"/>
            <w:vAlign w:val="bottom"/>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542" w:type="dxa"/>
            <w:tcBorders>
              <w:top w:val="nil"/>
              <w:left w:val="nil"/>
              <w:bottom w:val="nil"/>
              <w:right w:val="nil"/>
            </w:tcBorders>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792" w:type="dxa"/>
            <w:gridSpan w:val="2"/>
            <w:tcBorders>
              <w:top w:val="nil"/>
              <w:left w:val="nil"/>
              <w:bottom w:val="nil"/>
              <w:right w:val="nil"/>
            </w:tcBorders>
            <w:shd w:val="clear" w:color="auto" w:fill="auto"/>
            <w:vAlign w:val="center"/>
          </w:tcPr>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0375" w:type="dxa"/>
            <w:gridSpan w:val="15"/>
            <w:tcBorders>
              <w:top w:val="nil"/>
              <w:left w:val="nil"/>
              <w:bottom w:val="nil"/>
              <w:right w:val="nil"/>
            </w:tcBorders>
            <w:shd w:val="clear" w:color="auto" w:fill="auto"/>
            <w:vAlign w:val="bottom"/>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填报说明：1.资产总额＝流动资产＋固定资产＋对外投资／有价证券＋在建工程＋无形资产＋其他资产</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2.固定资产＝房屋构筑物＋车辆＋单价200万元以上大型设备＋其他固定资产</w:t>
            </w:r>
          </w:p>
        </w:tc>
        <w:tc>
          <w:tcPr>
            <w:tcW w:w="993" w:type="dxa"/>
            <w:gridSpan w:val="3"/>
            <w:tcBorders>
              <w:top w:val="nil"/>
              <w:left w:val="nil"/>
              <w:bottom w:val="nil"/>
              <w:right w:val="nil"/>
            </w:tcBorders>
            <w:shd w:val="clear" w:color="auto" w:fill="auto"/>
            <w:vAlign w:val="bottom"/>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000000"/>
                <w:spacing w:val="0"/>
                <w:kern w:val="0"/>
                <w:sz w:val="24"/>
                <w:szCs w:val="24"/>
                <w:lang w:val="en-US" w:eastAsia="zh-CN" w:bidi="ar"/>
              </w:rPr>
              <w:t> </w:t>
            </w:r>
          </w:p>
        </w:tc>
        <w:tc>
          <w:tcPr>
            <w:tcW w:w="552" w:type="dxa"/>
            <w:tcBorders>
              <w:top w:val="nil"/>
              <w:left w:val="nil"/>
              <w:bottom w:val="nil"/>
              <w:right w:val="nil"/>
            </w:tcBorders>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sz w:val="24"/>
                <w:szCs w:val="24"/>
              </w:rPr>
            </w:pPr>
            <w:r>
              <w:rPr>
                <w:rFonts w:hint="eastAsia" w:ascii="宋体" w:hAnsi="宋体" w:eastAsia="宋体" w:cs="宋体"/>
                <w:b w:val="0"/>
                <w:i w:val="0"/>
                <w:caps w:val="0"/>
                <w:color w:val="333333"/>
                <w:spacing w:val="0"/>
                <w:kern w:val="0"/>
                <w:sz w:val="24"/>
                <w:szCs w:val="24"/>
                <w:lang w:val="en-US" w:eastAsia="zh-CN" w:bidi="ar"/>
              </w:rPr>
              <w:t> </w:t>
            </w:r>
          </w:p>
        </w:tc>
      </w:tr>
    </w:tbl>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三、政府采购支出情况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30"/>
          <w:szCs w:val="30"/>
          <w:lang w:val="en-US" w:eastAsia="zh-CN" w:bidi="ar"/>
        </w:rPr>
        <w:t>2018年度，</w:t>
      </w:r>
      <w:r>
        <w:rPr>
          <w:rFonts w:hint="eastAsia" w:ascii="仿宋_GB2312" w:hAnsi="宋体" w:eastAsia="仿宋_GB2312" w:cs="仿宋_GB2312"/>
          <w:b w:val="0"/>
          <w:i w:val="0"/>
          <w:caps w:val="0"/>
          <w:color w:val="333333"/>
          <w:spacing w:val="0"/>
          <w:kern w:val="0"/>
          <w:sz w:val="24"/>
          <w:szCs w:val="24"/>
          <w:lang w:val="en-US" w:eastAsia="zh-CN" w:bidi="ar"/>
        </w:rPr>
        <w:t>中国共产党盈江县委员会统一战线工作部政府采购支出总额</w:t>
      </w:r>
      <w:r>
        <w:rPr>
          <w:rFonts w:hint="eastAsia" w:ascii="仿宋_GB2312" w:hAnsi="宋体" w:eastAsia="仿宋_GB2312" w:cs="仿宋_GB2312"/>
          <w:b w:val="0"/>
          <w:i w:val="0"/>
          <w:caps w:val="0"/>
          <w:color w:val="333333"/>
          <w:spacing w:val="0"/>
          <w:kern w:val="0"/>
          <w:sz w:val="30"/>
          <w:szCs w:val="30"/>
          <w:lang w:val="en-US" w:eastAsia="zh-CN" w:bidi="ar"/>
        </w:rPr>
        <w:t>9.38万元，其中：政府采购货物支出9.38万元；政府采购工程支出0万元；政府采购服务支出0万元。授予中小企业合同金额9.38万元，占政府采购支出总额的100%。</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四、部门绩效自评情况</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部门绩效自评情况详见附表（附表</w:t>
      </w:r>
      <w:r>
        <w:rPr>
          <w:rFonts w:hint="eastAsia" w:ascii="仿宋_GB2312" w:hAnsi="宋体" w:eastAsia="仿宋_GB2312" w:cs="仿宋_GB2312"/>
          <w:b w:val="0"/>
          <w:i w:val="0"/>
          <w:caps w:val="0"/>
          <w:color w:val="333333"/>
          <w:spacing w:val="0"/>
          <w:kern w:val="0"/>
          <w:sz w:val="30"/>
          <w:szCs w:val="30"/>
          <w:lang w:val="en-US" w:eastAsia="zh-CN" w:bidi="ar"/>
        </w:rPr>
        <w:t>10—附表14）。</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五、其他重要事项情况说明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无</w:t>
      </w:r>
    </w:p>
    <w:p>
      <w:pPr>
        <w:keepNext w:val="0"/>
        <w:keepLines w:val="0"/>
        <w:widowControl/>
        <w:suppressLineNumbers w:val="0"/>
        <w:spacing w:before="100" w:beforeAutospacing="0" w:after="10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六、相关口径说明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（一）基本支出中人员经费包括工资福利支出和对个人和家庭的补助，日常公用支出包括商品和服务支出、资本性支出等人员经费以外的支出。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（二）机关运行经费指行政单位和参照公务员法管理的事业单位使用一般公共预算财政拨款安排的基本支出中的日常公用经费支出。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（三）按照党中央、国务院有关文件及部门预算管理有关规定，</w:t>
      </w:r>
      <w:r>
        <w:rPr>
          <w:rFonts w:hint="eastAsia" w:ascii="仿宋_GB2312" w:hAnsi="宋体" w:eastAsia="仿宋_GB2312" w:cs="仿宋_GB2312"/>
          <w:b w:val="0"/>
          <w:i w:val="0"/>
          <w:caps w:val="0"/>
          <w:color w:val="333333"/>
          <w:spacing w:val="0"/>
          <w:kern w:val="0"/>
          <w:sz w:val="30"/>
          <w:szCs w:val="30"/>
          <w:lang w:val="en-US" w:eastAsia="zh-CN" w:bidi="ar"/>
        </w:rPr>
        <w:t>“三公”经费包括因公出国（境）费、公务用车购置及运行维护费、公务接待费。其中：因公出国（境）费，指单位工作人员公务出国（境）的国际旅费、国外城市间交通费、住宿费、伙食费、培训费、公杂费等支出；公务用车购置费，指单位公务用车车辆购置支出（含车辆购置税、牌照费等）；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（四）</w:t>
      </w:r>
      <w:r>
        <w:rPr>
          <w:rFonts w:hint="eastAsia" w:ascii="仿宋_GB2312" w:hAnsi="宋体" w:eastAsia="仿宋_GB2312" w:cs="仿宋_GB2312"/>
          <w:b w:val="0"/>
          <w:i w:val="0"/>
          <w:caps w:val="0"/>
          <w:color w:val="333333"/>
          <w:spacing w:val="0"/>
          <w:kern w:val="0"/>
          <w:sz w:val="30"/>
          <w:szCs w:val="30"/>
          <w:lang w:val="en-US" w:eastAsia="zh-CN" w:bidi="ar"/>
        </w:rPr>
        <w:t>“三公”经费决算数：指各部门（含下属单位）当年通过本级财政一般公共预算财政拨款和以前年度一般公共预算财政拨款结转结余资金安排的因公出国（境）费、公务用车购置及运行维护费和公务接待费支出数（包括基本支出和项目支出）。</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b w:val="0"/>
          <w:i w:val="0"/>
          <w:caps w:val="0"/>
          <w:color w:val="333333"/>
          <w:spacing w:val="0"/>
          <w:sz w:val="24"/>
          <w:szCs w:val="24"/>
        </w:rPr>
      </w:pPr>
      <w:r>
        <w:rPr>
          <w:rFonts w:hint="eastAsia" w:ascii="黑体" w:hAnsi="宋体" w:eastAsia="黑体" w:cs="黑体"/>
          <w:b w:val="0"/>
          <w:i w:val="0"/>
          <w:caps w:val="0"/>
          <w:color w:val="333333"/>
          <w:spacing w:val="0"/>
          <w:kern w:val="0"/>
          <w:sz w:val="24"/>
          <w:szCs w:val="24"/>
          <w:lang w:val="en-US" w:eastAsia="zh-CN" w:bidi="ar"/>
        </w:rPr>
        <w:t>第五部分</w:t>
      </w:r>
      <w:r>
        <w:rPr>
          <w:rFonts w:hint="eastAsia" w:ascii="黑体" w:hAnsi="宋体" w:eastAsia="黑体" w:cs="黑体"/>
          <w:b w:val="0"/>
          <w:i w:val="0"/>
          <w:caps w:val="0"/>
          <w:color w:val="333333"/>
          <w:spacing w:val="0"/>
          <w:kern w:val="0"/>
          <w:sz w:val="32"/>
          <w:szCs w:val="32"/>
          <w:lang w:val="en-US" w:eastAsia="zh-CN" w:bidi="ar"/>
        </w:rPr>
        <w:t>  </w:t>
      </w:r>
      <w:r>
        <w:rPr>
          <w:rFonts w:hint="eastAsia" w:ascii="黑体" w:hAnsi="宋体" w:eastAsia="黑体" w:cs="黑体"/>
          <w:b w:val="0"/>
          <w:i w:val="0"/>
          <w:caps w:val="0"/>
          <w:color w:val="333333"/>
          <w:spacing w:val="0"/>
          <w:kern w:val="0"/>
          <w:sz w:val="24"/>
          <w:szCs w:val="24"/>
          <w:lang w:val="en-US" w:eastAsia="zh-CN" w:bidi="ar"/>
        </w:rPr>
        <w:t>名词解释</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财政拨款收入：指县级财政当年拨付的资金。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基本支出：为保障机构正常运行，完成日常工作任务而发生的人员支出和公用支出。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项目支出：指在基本支出之外为完成特定行政任务和事业发展目标所发生的支出。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b w:val="0"/>
          <w:i w:val="0"/>
          <w:caps w:val="0"/>
          <w:color w:val="333333"/>
          <w:spacing w:val="0"/>
          <w:sz w:val="24"/>
          <w:szCs w:val="24"/>
        </w:rPr>
      </w:pPr>
      <w:r>
        <w:rPr>
          <w:rFonts w:hint="eastAsia" w:ascii="仿宋_GB2312" w:hAnsi="宋体" w:eastAsia="仿宋_GB2312" w:cs="仿宋_GB2312"/>
          <w:b w:val="0"/>
          <w:i w:val="0"/>
          <w:caps w:val="0"/>
          <w:color w:val="333333"/>
          <w:spacing w:val="0"/>
          <w:kern w:val="0"/>
          <w:sz w:val="24"/>
          <w:szCs w:val="24"/>
          <w:lang w:val="en-US" w:eastAsia="zh-CN" w:bidi="ar"/>
        </w:rPr>
        <w:t>政府采购：指各级国家机关、事业单位和团体组织，使用财政性资金采购依法制定的集中采购目录以内的或者采购限额标准以上的货物、工程和服务的行为。政府采购不仅是指具体的采购过程，而且是采购政策、采购程序、采购过程及采购管理的总称，是一种对公共采购管理的制度，是一种政府行为。</w:t>
      </w:r>
    </w:p>
    <w:p/>
    <w:p>
      <w:pPr>
        <w:rPr>
          <w:rFonts w:ascii="Arial" w:hAnsi="Arial" w:eastAsia="Arial" w:cs="Arial"/>
          <w:b/>
          <w:sz w:val="36"/>
        </w:rPr>
      </w:pPr>
      <w:r>
        <w:rPr>
          <w:rFonts w:ascii="Arial" w:hAnsi="Arial" w:eastAsia="Arial" w:cs="Arial"/>
          <w:b/>
          <w:sz w:val="36"/>
        </w:rPr>
        <w:t>监督索引号53312300421300111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015"/>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3DE7"/>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876ED"/>
    <w:rsid w:val="00294AE7"/>
    <w:rsid w:val="002A7BAE"/>
    <w:rsid w:val="002B0853"/>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4F8A"/>
    <w:rsid w:val="00376707"/>
    <w:rsid w:val="0037788A"/>
    <w:rsid w:val="0038029B"/>
    <w:rsid w:val="00383096"/>
    <w:rsid w:val="00383600"/>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46EB"/>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1A72"/>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23D0"/>
    <w:rsid w:val="005F310F"/>
    <w:rsid w:val="00602B8A"/>
    <w:rsid w:val="0060314C"/>
    <w:rsid w:val="00610CF7"/>
    <w:rsid w:val="00612D63"/>
    <w:rsid w:val="00614B12"/>
    <w:rsid w:val="006150EC"/>
    <w:rsid w:val="00615904"/>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6452"/>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31C4"/>
    <w:rsid w:val="00905BB4"/>
    <w:rsid w:val="00907813"/>
    <w:rsid w:val="00911B9D"/>
    <w:rsid w:val="009142F4"/>
    <w:rsid w:val="00921C07"/>
    <w:rsid w:val="00930A10"/>
    <w:rsid w:val="0093199F"/>
    <w:rsid w:val="00932958"/>
    <w:rsid w:val="00933E78"/>
    <w:rsid w:val="00944C15"/>
    <w:rsid w:val="00947446"/>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66986"/>
    <w:rsid w:val="00A724CF"/>
    <w:rsid w:val="00A7532F"/>
    <w:rsid w:val="00A761CF"/>
    <w:rsid w:val="00A81682"/>
    <w:rsid w:val="00A84D92"/>
    <w:rsid w:val="00A84E65"/>
    <w:rsid w:val="00A91047"/>
    <w:rsid w:val="00A95B6C"/>
    <w:rsid w:val="00AA7480"/>
    <w:rsid w:val="00AB1481"/>
    <w:rsid w:val="00AB2ABB"/>
    <w:rsid w:val="00AB5C67"/>
    <w:rsid w:val="00AB7C98"/>
    <w:rsid w:val="00AC1941"/>
    <w:rsid w:val="00AC47D9"/>
    <w:rsid w:val="00AD0DA1"/>
    <w:rsid w:val="00AD3A1F"/>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350FB"/>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04E1"/>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4494"/>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E3E20"/>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54F0"/>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5DE4"/>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A94BC3"/>
    <w:rsid w:val="03F0214E"/>
    <w:rsid w:val="06325B44"/>
    <w:rsid w:val="0AB77A2F"/>
    <w:rsid w:val="178D128E"/>
    <w:rsid w:val="1A0B3DDD"/>
    <w:rsid w:val="2D7B7E3A"/>
    <w:rsid w:val="39466C4F"/>
    <w:rsid w:val="54037461"/>
    <w:rsid w:val="6D1A3CAC"/>
    <w:rsid w:val="724A4A01"/>
    <w:rsid w:val="767E2381"/>
    <w:rsid w:val="7B1E53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ind w:firstLine="420"/>
      <w:jc w:val="left"/>
    </w:pPr>
    <w:rPr>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zhlx</Company>
  <Pages>11</Pages>
  <Words>724</Words>
  <Characters>4132</Characters>
  <Lines>34</Lines>
  <Paragraphs>9</Paragraphs>
  <TotalTime>1</TotalTime>
  <ScaleCrop>false</ScaleCrop>
  <LinksUpToDate>false</LinksUpToDate>
  <CharactersWithSpaces>4847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2024-08-15T08:02:08Z</dcterms:modified>
  <dc:title>年部门预算编制说明</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5A9952144CEB4943AB53E1C63FE1D045</vt:lpwstr>
  </property>
</Properties>
</file>